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Borders>
          <w:top w:val="none" w:color="000000" w:sz="6" w:space="0"/>
          <w:left w:val="none" w:color="000000" w:sz="6" w:space="0"/>
          <w:bottom w:val="none" w:color="000000" w:sz="6" w:space="0"/>
          <w:right w:val="none" w:color="000000" w:sz="6" w:space="0"/>
          <w:insideH w:val="none" w:color="000000" w:sz="6" w:space="0"/>
          <w:insideV w:val="none" w:color="000000" w:sz="6" w:space="0"/>
        </w:tblBorders>
        <w:tblLayout w:type="autofit"/>
        <w:tblCellMar>
          <w:left w:w="0" w:type="dxa"/>
          <w:top w:w="0" w:type="dxa"/>
          <w:right w:w="0" w:type="dxa"/>
          <w:bottom w:w="0" w:type="dxa"/>
        </w:tblCellMar>
      </w:tblPr>
      <w:tblGrid/>
      <w:tr>
        <w:tc>
          <w:tcPr>
            <w:tcW w:w="10772" w:type="dxa"/>
            <w:tcBorders>
              <w:top w:val="none"/>
              <w:left w:val="none"/>
              <w:bottom w:val="none"/>
              <w:right w:val="none"/>
            </w:tcBorders>
            <w:tcMar>
              <w:left w:w="108" w:type="dxa"/>
              <w:top w:w="0" w:type="dxa"/>
              <w:right w:w="108" w:type="dxa"/>
              <w:bottom w:w="0" w:type="dxa"/>
            </w:tcMar>
            <w:vAlign w:val="top"/>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20"/>
                <w:szCs w:val="20"/>
              </w:rPr>
              <w:t xml:space="preserve"> </w:t>
            </w:r>
          </w:p>
        </w:tc>
      </w:tr>
    </w:tbl>
    <w:p>
      <w:pPr>
        <w:spacing w:after="0" w:before="0"/>
        <w:ind w:right="0" w:firstLine="0" w:left="0"/>
        <w:outlineLvl w:val="9"/>
        <w:rPr>
          <w:rFonts w:ascii="Times New Roman" w:hAnsi="Times New Roman" w:eastAsia="Times New Roman" w:cs="Times New Roman"/>
          <w:sz w:val="24"/>
        </w:rPr>
      </w:pPr>
      <w:r>
        <w:rPr>
          <w:rFonts w:ascii="Times New Roman" w:hAnsi="Times New Roman" w:eastAsia="Times New Roman" w:cs="Times New Roman"/>
          <w:vanish/>
          <w:sz w:val="24"/>
          <w:szCs w:val="24"/>
        </w:rPr>
        <w:t xml:space="preserve"> </w:t>
      </w:r>
    </w:p>
    <w:tbl>
      <w:tblPr>
        <w:tblW w:w="10123" w:type="dxa"/>
        <w:tblInd w:w="93"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autofit"/>
        <w:tblCellMar>
          <w:left w:w="0" w:type="dxa"/>
          <w:top w:w="0" w:type="dxa"/>
          <w:right w:w="0" w:type="dxa"/>
          <w:bottom w:w="0" w:type="dxa"/>
        </w:tblCellMar>
      </w:tblPr>
      <w:tblGrid/>
      <w:tr>
        <w:trPr>
          <w:trHeight w:val="270"/>
        </w:trPr>
        <w:tc>
          <w:tcPr>
            <w:tcW w:w="5940" w:type="dxa"/>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b/>
                <w:sz w:val="20"/>
                <w:szCs w:val="20"/>
              </w:rPr>
              <w:t xml:space="preserve">ПОЯСНИТЕЛЬНАЯ ЗАПИСКА</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noWrap/>
            <w:tcMar>
              <w:left w:w="108" w:type="dxa"/>
              <w:top w:w="0" w:type="dxa"/>
              <w:right w:w="108" w:type="dxa"/>
              <w:bottom w:w="0" w:type="dxa"/>
            </w:tcMar>
            <w:vAlign w:val="bottom"/>
            <w:hideMark/>
          </w:tcPr>
          <w:p>
            <w:pPr>
              <w:ind w:right="0" w:left="0"/>
              <w:rPr>
                <w:sz w:val="24"/>
              </w:rPr>
            </w:pPr>
          </w:p>
        </w:tc>
      </w:tr>
      <w:tr>
        <w:trPr>
          <w:trHeight w:val="255"/>
        </w:trPr>
        <w:tc>
          <w:tcPr>
            <w:tcW w:w="5940" w:type="dxa"/>
            <w:noWrap/>
            <w:tcMar>
              <w:left w:w="108" w:type="dxa"/>
              <w:top w:w="0" w:type="dxa"/>
              <w:right w:w="108" w:type="dxa"/>
              <w:bottom w:w="0" w:type="dxa"/>
            </w:tcMar>
            <w:vAlign w:val="bottom"/>
            <w:hideMark/>
          </w:tcPr>
          <w:p>
            <w:pPr>
              <w:ind w:right="0" w:left="0"/>
              <w:rPr>
                <w:sz w:val="24"/>
              </w:rPr>
            </w:pP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tcBorders>
              <w:top w:val="single" w:color="000000" w:sz="8" w:space="0"/>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КОДЫ</w:t>
            </w:r>
          </w:p>
        </w:tc>
      </w:tr>
      <w:tr>
        <w:trPr>
          <w:trHeight w:val="282"/>
        </w:trPr>
        <w:tc>
          <w:tcPr>
            <w:tcW w:w="0" w:type="auto"/>
            <w:noWrap/>
            <w:tcMar>
              <w:left w:w="108" w:type="dxa"/>
              <w:top w:w="0" w:type="dxa"/>
              <w:right w:w="108" w:type="dxa"/>
              <w:bottom w:w="0" w:type="dxa"/>
            </w:tcMar>
            <w:vAlign w:val="bottom"/>
            <w:hideMark/>
          </w:tcPr>
          <w:p>
            <w:pPr>
              <w:ind w:right="0" w:left="0"/>
              <w:rPr>
                <w:sz w:val="24"/>
              </w:rPr>
            </w:pPr>
          </w:p>
        </w:tc>
        <w:tc>
          <w:tcPr>
            <w:tcW w:w="0" w:type="auto"/>
            <w:gridSpan w:val="2"/>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Форма по ОКУД</w:t>
            </w: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0503160</w:t>
            </w:r>
          </w:p>
        </w:tc>
      </w:tr>
      <w:tr>
        <w:trPr>
          <w:trHeight w:val="282"/>
        </w:trPr>
        <w:tc>
          <w:tcPr>
            <w:tcW w:w="0" w:type="auto"/>
            <w:gridSpan w:val="2"/>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                          на   1 января 2025 г.</w:t>
            </w:r>
          </w:p>
        </w:tc>
        <w:tc>
          <w:tcPr>
            <w:tcW w:w="1500" w:type="dxa"/>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 Дата</w:t>
            </w: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01.01.2025</w:t>
            </w:r>
          </w:p>
        </w:tc>
      </w:tr>
      <w:tr>
        <w:trPr>
          <w:trHeight w:val="300"/>
        </w:trPr>
        <w:tc>
          <w:tcPr>
            <w:tcW w:w="5940" w:type="dxa"/>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Главный распорядитель, распорядитель,</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Код субъекта бюджетной отчетности</w:t>
            </w: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4"/>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получатель бюджетных средств, главный администратор,   </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ind w:right="0" w:left="0"/>
              <w:rPr>
                <w:sz w:val="20"/>
              </w:rPr>
            </w:pP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ind w:right="0" w:left="0"/>
              <w:rPr>
                <w:sz w:val="20"/>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администратор доходов бюджета,</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spacing w:after="0" w:before="0" w:line="195" w:lineRule="atLeast"/>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по ОКПО</w:t>
            </w: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0"/>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главный администратор, администратор </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ind w:right="0" w:left="0"/>
              <w:rPr>
                <w:sz w:val="20"/>
              </w:rPr>
            </w:pPr>
          </w:p>
        </w:tc>
        <w:tc>
          <w:tcPr>
            <w:tcW w:w="2461" w:type="dxa"/>
            <w:tcBorders>
              <w:top w:val="single" w:color="000000" w:sz="8" w:space="0"/>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0"/>
              </w:rPr>
            </w:pPr>
          </w:p>
        </w:tc>
      </w:tr>
      <w:tr>
        <w:trPr>
          <w:trHeight w:val="195"/>
        </w:trPr>
        <w:tc>
          <w:tcPr>
            <w:tcW w:w="5940" w:type="dxa"/>
            <w:noWrap/>
            <w:tcMar>
              <w:left w:w="108" w:type="dxa"/>
              <w:top w:w="0" w:type="dxa"/>
              <w:right w:w="108" w:type="dxa"/>
              <w:bottom w:w="0" w:type="dxa"/>
            </w:tcMar>
            <w:vAlign w:val="bottom"/>
            <w:hideMark/>
          </w:tcPr>
          <w:p>
            <w:pPr>
              <w:spacing w:after="0" w:before="0" w:line="195"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администратор источников финансирования</w:t>
            </w:r>
          </w:p>
        </w:tc>
        <w:tc>
          <w:tcPr>
            <w:tcW w:w="222" w:type="dxa"/>
            <w:noWrap/>
            <w:tcMar>
              <w:left w:w="108" w:type="dxa"/>
              <w:top w:w="0" w:type="dxa"/>
              <w:right w:w="108" w:type="dxa"/>
              <w:bottom w:w="0" w:type="dxa"/>
            </w:tcMar>
            <w:vAlign w:val="bottom"/>
            <w:hideMark/>
          </w:tcPr>
          <w:p>
            <w:pPr>
              <w:ind w:right="0" w:left="0"/>
              <w:rPr>
                <w:sz w:val="20"/>
              </w:rPr>
            </w:pPr>
          </w:p>
        </w:tc>
        <w:tc>
          <w:tcPr>
            <w:tcW w:w="1500" w:type="dxa"/>
            <w:noWrap/>
            <w:tcMar>
              <w:left w:w="108" w:type="dxa"/>
              <w:top w:w="0" w:type="dxa"/>
              <w:right w:w="108" w:type="dxa"/>
              <w:bottom w:w="0" w:type="dxa"/>
            </w:tcMar>
            <w:vAlign w:val="bottom"/>
            <w:hideMark/>
          </w:tcPr>
          <w:p>
            <w:pPr>
              <w:ind w:right="0" w:left="0"/>
              <w:rPr>
                <w:sz w:val="20"/>
              </w:rPr>
            </w:pP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0"/>
              </w:rPr>
            </w:pPr>
          </w:p>
        </w:tc>
      </w:tr>
      <w:tr>
        <w:tc>
          <w:tcPr>
            <w:tcW w:w="0" w:type="auto"/>
            <w:gridSpan w:val="2"/>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дефицита бюджета </w:t>
            </w:r>
            <w:r>
              <w:rPr>
                <w:rFonts w:ascii="Times New Roman" w:hAnsi="Times New Roman" w:eastAsia="Times New Roman" w:cs="Times New Roman"/>
                <w:sz w:val="18"/>
                <w:szCs w:val="18"/>
                <w:u w:val="single"/>
              </w:rPr>
              <w:t xml:space="preserve">Территориальный фонд обязательного медицинского страхования Еврейской автономной области</w:t>
            </w:r>
            <w:r>
              <w:rPr>
                <w:rFonts w:ascii="Times New Roman" w:hAnsi="Times New Roman" w:eastAsia="Times New Roman" w:cs="Times New Roman"/>
                <w:sz w:val="18"/>
                <w:szCs w:val="18"/>
              </w:rPr>
              <w:t xml:space="preserve">         </w:t>
            </w:r>
          </w:p>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4"/>
                <w:szCs w:val="24"/>
              </w:rPr>
              <w:t xml:space="preserve"> </w:t>
            </w:r>
          </w:p>
        </w:tc>
        <w:tc>
          <w:tcPr>
            <w:tcW w:w="1500" w:type="dxa"/>
            <w:noWrap/>
            <w:tcMar>
              <w:left w:w="108" w:type="dxa"/>
              <w:top w:w="0" w:type="dxa"/>
              <w:right w:w="108" w:type="dxa"/>
              <w:bottom w:w="0" w:type="dxa"/>
            </w:tcMar>
            <w:vAlign w:val="bottom"/>
            <w:hideMark/>
          </w:tcPr>
          <w:p>
            <w:pPr>
              <w:spacing w:after="0" w:before="0"/>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Глава по БК</w:t>
            </w:r>
          </w:p>
        </w:tc>
        <w:tc>
          <w:tcPr>
            <w:tcW w:w="2461" w:type="dxa"/>
            <w:tcBorders>
              <w:top w:val="none"/>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395</w:t>
            </w:r>
          </w:p>
        </w:tc>
      </w:tr>
      <w:tr>
        <w:trPr>
          <w:trHeight w:val="280"/>
        </w:trPr>
        <w:tc>
          <w:tcPr>
            <w:tcW w:w="5940" w:type="dxa"/>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Наименование бюджета </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4"/>
              </w:rPr>
            </w:pPr>
          </w:p>
        </w:tc>
      </w:tr>
      <w:tr>
        <w:trPr>
          <w:trHeight w:val="210"/>
        </w:trPr>
        <w:tc>
          <w:tcPr>
            <w:tcW w:w="0" w:type="auto"/>
            <w:gridSpan w:val="2"/>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(публично-правового образования) </w:t>
            </w:r>
            <w:r>
              <w:rPr>
                <w:rFonts w:ascii="Times New Roman" w:hAnsi="Times New Roman" w:eastAsia="Times New Roman" w:cs="Times New Roman"/>
                <w:sz w:val="18"/>
                <w:szCs w:val="18"/>
                <w:u w:val="single"/>
              </w:rPr>
              <w:t xml:space="preserve">Бюджет территориального фонда ОМС</w:t>
            </w:r>
            <w:r>
              <w:rPr>
                <w:rFonts w:ascii="Times New Roman" w:hAnsi="Times New Roman" w:eastAsia="Times New Roman" w:cs="Times New Roman"/>
                <w:sz w:val="18"/>
                <w:szCs w:val="18"/>
              </w:rPr>
              <w:t xml:space="preserve"> </w:t>
            </w:r>
          </w:p>
          <w:p>
            <w:pPr>
              <w:spacing w:after="0" w:before="0" w:line="210" w:lineRule="atLeast"/>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   </w:t>
            </w:r>
          </w:p>
        </w:tc>
        <w:tc>
          <w:tcPr>
            <w:tcW w:w="1500" w:type="dxa"/>
            <w:noWrap/>
            <w:tcMar>
              <w:left w:w="108" w:type="dxa"/>
              <w:top w:w="0" w:type="dxa"/>
              <w:right w:w="108" w:type="dxa"/>
              <w:bottom w:w="0" w:type="dxa"/>
            </w:tcMar>
            <w:vAlign w:val="bottom"/>
            <w:hideMark/>
          </w:tcPr>
          <w:p>
            <w:pPr>
              <w:spacing w:after="0" w:before="0" w:line="210" w:lineRule="atLeast"/>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по ОКТМО</w:t>
            </w:r>
          </w:p>
        </w:tc>
        <w:tc>
          <w:tcPr>
            <w:tcW w:w="2461" w:type="dxa"/>
            <w:tcBorders>
              <w:top w:val="none"/>
              <w:left w:val="single" w:color="000000" w:sz="8" w:space="0"/>
              <w:bottom w:val="none"/>
              <w:right w:val="single" w:color="000000" w:sz="8" w:space="0"/>
            </w:tcBorders>
            <w:noWrap/>
            <w:tcMar>
              <w:left w:w="108" w:type="dxa"/>
              <w:top w:w="0" w:type="dxa"/>
              <w:right w:w="108" w:type="dxa"/>
              <w:bottom w:w="0" w:type="dxa"/>
            </w:tcMar>
            <w:vAlign w:val="bottom"/>
            <w:hideMark/>
          </w:tcPr>
          <w:p>
            <w:pPr>
              <w:spacing w:after="0" w:before="0" w:line="210" w:lineRule="atLeast"/>
              <w:ind w:right="0" w:left="0"/>
              <w:jc w:val="center"/>
              <w:rPr>
                <w:rFonts w:ascii="Times New Roman" w:hAnsi="Times New Roman" w:eastAsia="Times New Roman" w:cs="Times New Roman"/>
                <w:sz w:val="24"/>
              </w:rPr>
            </w:pPr>
            <w:r>
              <w:rPr>
                <w:rFonts w:ascii="Times New Roman" w:hAnsi="Times New Roman" w:eastAsia="Times New Roman" w:cs="Times New Roman"/>
                <w:sz w:val="15"/>
                <w:szCs w:val="15"/>
              </w:rPr>
              <w:t xml:space="preserve">99701000</w:t>
            </w:r>
          </w:p>
        </w:tc>
      </w:tr>
      <w:tr>
        <w:trPr>
          <w:trHeight w:val="315"/>
        </w:trPr>
        <w:tc>
          <w:tcPr>
            <w:tcW w:w="5940" w:type="dxa"/>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Периодичность:    месячная, квартальная, годовая</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tcBorders>
              <w:top w:val="single" w:color="000000" w:sz="8" w:space="0"/>
              <w:left w:val="single" w:color="000000" w:sz="8" w:space="0"/>
              <w:bottom w:val="none"/>
              <w:right w:val="single" w:color="000000" w:sz="8" w:space="0"/>
            </w:tcBorders>
            <w:noWrap/>
            <w:tcMar>
              <w:left w:w="108" w:type="dxa"/>
              <w:top w:w="0" w:type="dxa"/>
              <w:right w:w="108" w:type="dxa"/>
              <w:bottom w:w="0" w:type="dxa"/>
            </w:tcMar>
            <w:vAlign w:val="bottom"/>
            <w:hideMark/>
          </w:tcPr>
          <w:p>
            <w:pPr>
              <w:ind w:right="0" w:left="0"/>
              <w:rPr>
                <w:sz w:val="24"/>
              </w:rPr>
            </w:pPr>
          </w:p>
        </w:tc>
      </w:tr>
      <w:tr>
        <w:trPr>
          <w:trHeight w:val="282"/>
        </w:trPr>
        <w:tc>
          <w:tcPr>
            <w:tcW w:w="0" w:type="auto"/>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18"/>
                <w:szCs w:val="18"/>
              </w:rPr>
              <w:t xml:space="preserve">Единица измерения: руб.</w:t>
            </w: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spacing w:after="240" w:afterAutospacing="1" w:before="240" w:beforeAutospacing="1"/>
              <w:ind w:right="0" w:left="0"/>
              <w:jc w:val="right"/>
              <w:rPr>
                <w:rFonts w:ascii="Times New Roman" w:hAnsi="Times New Roman" w:eastAsia="Times New Roman" w:cs="Times New Roman"/>
                <w:sz w:val="24"/>
              </w:rPr>
            </w:pPr>
            <w:r>
              <w:rPr>
                <w:rFonts w:ascii="Times New Roman" w:hAnsi="Times New Roman" w:eastAsia="Times New Roman" w:cs="Times New Roman"/>
                <w:sz w:val="18"/>
                <w:szCs w:val="18"/>
              </w:rPr>
              <w:t xml:space="preserve">    по ОКЕИ</w:t>
            </w:r>
          </w:p>
        </w:tc>
        <w:tc>
          <w:tcPr>
            <w:tcW w:w="2461" w:type="dxa"/>
            <w:tcBorders>
              <w:top w:val="single" w:color="000000" w:sz="8" w:space="0"/>
              <w:left w:val="single" w:color="000000" w:sz="8" w:space="0"/>
              <w:bottom w:val="single" w:color="000000" w:sz="8" w:space="0"/>
              <w:right w:val="single" w:color="000000" w:sz="8" w:space="0"/>
            </w:tcBorders>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18"/>
                <w:szCs w:val="18"/>
              </w:rPr>
              <w:t xml:space="preserve">383</w:t>
            </w:r>
          </w:p>
        </w:tc>
      </w:tr>
      <w:tr>
        <w:trPr>
          <w:trHeight w:val="282"/>
        </w:trPr>
        <w:tc>
          <w:tcPr>
            <w:tcW w:w="0" w:type="auto"/>
            <w:noWrap/>
            <w:tcMar>
              <w:left w:w="108" w:type="dxa"/>
              <w:top w:w="0" w:type="dxa"/>
              <w:right w:w="108" w:type="dxa"/>
              <w:bottom w:w="0" w:type="dxa"/>
            </w:tcMar>
            <w:vAlign w:val="bottom"/>
            <w:hideMark/>
          </w:tcPr>
          <w:p>
            <w:pPr>
              <w:ind w:right="0" w:left="0"/>
              <w:rPr>
                <w:sz w:val="24"/>
              </w:rPr>
            </w:pPr>
          </w:p>
        </w:tc>
        <w:tc>
          <w:tcPr>
            <w:tcW w:w="222" w:type="dxa"/>
            <w:noWrap/>
            <w:tcMar>
              <w:left w:w="108" w:type="dxa"/>
              <w:top w:w="0" w:type="dxa"/>
              <w:right w:w="108" w:type="dxa"/>
              <w:bottom w:w="0" w:type="dxa"/>
            </w:tcMar>
            <w:vAlign w:val="bottom"/>
            <w:hideMark/>
          </w:tcPr>
          <w:p>
            <w:pPr>
              <w:ind w:right="0" w:left="0"/>
              <w:rPr>
                <w:sz w:val="24"/>
              </w:rPr>
            </w:pPr>
          </w:p>
        </w:tc>
        <w:tc>
          <w:tcPr>
            <w:tcW w:w="1500" w:type="dxa"/>
            <w:noWrap/>
            <w:tcMar>
              <w:left w:w="108" w:type="dxa"/>
              <w:top w:w="0" w:type="dxa"/>
              <w:right w:w="108" w:type="dxa"/>
              <w:bottom w:w="0" w:type="dxa"/>
            </w:tcMar>
            <w:vAlign w:val="bottom"/>
            <w:hideMark/>
          </w:tcPr>
          <w:p>
            <w:pPr>
              <w:ind w:right="0" w:left="0"/>
              <w:rPr>
                <w:sz w:val="24"/>
              </w:rPr>
            </w:pPr>
          </w:p>
        </w:tc>
        <w:tc>
          <w:tcPr>
            <w:tcW w:w="2461" w:type="dxa"/>
            <w:noWrap/>
            <w:tcMar>
              <w:left w:w="108" w:type="dxa"/>
              <w:top w:w="0" w:type="dxa"/>
              <w:right w:w="108" w:type="dxa"/>
              <w:bottom w:w="0" w:type="dxa"/>
            </w:tcMar>
            <w:vAlign w:val="bottom"/>
            <w:hideMark/>
          </w:tcPr>
          <w:p>
            <w:pPr>
              <w:ind w:right="0" w:left="0"/>
              <w:rPr>
                <w:sz w:val="24"/>
              </w:rPr>
            </w:pPr>
          </w:p>
        </w:tc>
      </w:tr>
      <w:tr>
        <w:trPr>
          <w:trHeight w:val="282"/>
        </w:trPr>
        <w:tc>
          <w:tcPr>
            <w:tcW w:w="0" w:type="auto"/>
            <w:gridSpan w:val="4"/>
            <w:noWrap/>
            <w:tcMar>
              <w:left w:w="108" w:type="dxa"/>
              <w:top w:w="0" w:type="dxa"/>
              <w:right w:w="108" w:type="dxa"/>
              <w:bottom w:w="0" w:type="dxa"/>
            </w:tcMar>
            <w:vAlign w:val="bottom"/>
            <w:hideMark/>
          </w:tcPr>
          <w:p>
            <w:pPr>
              <w:ind w:right="0" w:left="0"/>
              <w:rPr>
                <w:sz w:val="24"/>
              </w:rPr>
            </w:pPr>
          </w:p>
        </w:tc>
      </w:tr>
    </w:tbl>
    <w:p>
      <w:pPr>
        <w:spacing w:after="0" w:before="0"/>
        <w:ind w:right="0" w:firstLine="0" w:left="0"/>
        <w:outlineLvl w:val="9"/>
        <w:rPr>
          <w:rFonts w:ascii="Times New Roman" w:hAnsi="Times New Roman" w:eastAsia="Times New Roman" w:cs="Times New Roman"/>
          <w:sz w:val="24"/>
        </w:rPr>
      </w:pPr>
      <w:r>
        <w:rPr>
          <w:rFonts w:ascii="Times New Roman" w:hAnsi="Times New Roman" w:eastAsia="Times New Roman" w:cs="Times New Roman"/>
          <w:color w:val="000000"/>
          <w:sz w:val="28"/>
          <w:szCs w:val="28"/>
        </w:rPr>
        <w:t xml:space="preserve">Раздел 1. Организационная структура ТФОМС ЕАО</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Территориальный фонд обязательного медицинского страхования ЕАО, далее ТФОМС ЕАО является самостоятельной некоммерческой организацией, созданной для реализации государственной политики в сфере обязательного медицинского страхования на территории Еврейской автономной области.</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r>
        <w:rPr>
          <w:rFonts w:ascii="Times New Roman" w:hAnsi="Times New Roman" w:eastAsia="Times New Roman" w:cs="Times New Roman"/>
          <w:color w:val="000000"/>
          <w:sz w:val="28"/>
          <w:szCs w:val="28"/>
        </w:rPr>
        <w:t xml:space="preserve">ИНН 7900000662</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КПП 790101001</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ОКВЭД 84.30</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ОГРН 1027900513585</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ОКПО 26250786</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ОКАТО 994001000000</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ОКФС 13</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ОКОПФ 75203</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Юридический адрес: 79000, ЕАО, г. Биробиджан, пр. 60-летия СССР, 24.</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Бюджетные полномочия  в отчетном периоде  не изменялись.</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Вид деятельности  ТФОМС ЕАО  в 2024 году не изменился.  </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Руководство деятельностью ТФОМС ЕАО осуществлялось директором Писаревой Ольгой Юрьевной, назначенной на должность Распоряжением губернатора Еврейской автономной области от 17 октября 2016 года </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 309-рп «О назначении на должность Писаревой О.Ю.». Назначение Писаревой О.Ю. на должность директора территориального фонда обязательного медицинского страхования Еврейской автономной области согласовано с Федеральным фондом обязательного медицинского страхования (от 26.09.2016  № 9047/60/4). </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Распоряжением правительства Еврейской автономной области от 05.02.2020 № 33-рп (ред. от 26.01.2021 № 18-рп, от 16.06.2021  № 183-рп, от 17.12.2021 №431-рп) «Об утверждении состава правления территориального фонда обязательного медицинского страхования Еврейской автономной области» утвержден состав правления территориального фонда обязательного медицинского страхования Еврейской автономной области. </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В соответствии с Положением о территориальном фонде обязательного медицинского страхования Еврейской автономной области правление ТФОМС ЕАО определяет основные направления деятельности фонда и осуществляет текущий контроль за его деятельностью.</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ТФОМС ЕАО самостоятельно осуществляет ведение бухгалтерского (бюджетного) учета.</w:t>
      </w:r>
    </w:p>
    <w:p>
      <w:pPr>
        <w:spacing w:after="0" w:before="0"/>
        <w:ind w:right="0" w:firstLine="426" w:left="0"/>
        <w:jc w:val="both"/>
        <w:outlineLvl w:val="9"/>
        <w:rPr>
          <w:color w:val="000000"/>
        </w:rPr>
      </w:pPr>
      <w:r>
        <w:rPr>
          <w:color w:val="000000"/>
        </w:rPr>
        <w:t xml:space="preserve"> </w:t>
      </w:r>
    </w:p>
    <w:p>
      <w:pPr>
        <w:spacing w:after="0" w:before="0"/>
        <w:ind w:right="0" w:firstLine="426" w:left="0"/>
        <w:jc w:val="both"/>
        <w:outlineLvl w:val="9"/>
        <w:rPr>
          <w:color w:val="000000"/>
        </w:rPr>
      </w:pPr>
      <w:r>
        <w:rPr>
          <w:rFonts w:ascii="Times New Roman" w:hAnsi="Times New Roman" w:eastAsia="Times New Roman" w:cs="Times New Roman"/>
          <w:color w:val="000000"/>
          <w:sz w:val="28"/>
          <w:szCs w:val="28"/>
        </w:rPr>
        <w:t xml:space="preserve">Руководство финансово-хозяйственной деятельностью в проверяемом периоде с правом первой и второй подписи осуществляли:</w:t>
      </w:r>
    </w:p>
    <w:p>
      <w:pPr>
        <w:numPr>
          <w:ilvl w:val="0"/>
          <w:numId w:val="1"/>
        </w:numPr>
        <w:spacing w:after="0" w:before="0"/>
        <w:ind w:right="0" w:hanging="360" w:left="1440"/>
        <w:jc w:val="both"/>
        <w:outlineLvl w:val="9"/>
        <w:rPr>
          <w:color w:val="000000"/>
        </w:rPr>
      </w:pPr>
      <w:r>
        <w:rPr>
          <w:rFonts w:ascii="Times New Roman" w:hAnsi="Times New Roman" w:eastAsia="Times New Roman" w:cs="Times New Roman"/>
          <w:color w:val="000000"/>
          <w:sz w:val="28"/>
          <w:szCs w:val="28"/>
        </w:rPr>
        <w:t xml:space="preserve">с правом первой подписи:  директор Писарева Ольга Юрьевна; заместитель директора – начальник УООМС Миронова Наталья Владимировна; начальник финансово-экономического управления Селянина Татьяна Васильевна;</w:t>
      </w:r>
    </w:p>
    <w:p>
      <w:pPr>
        <w:numPr>
          <w:ilvl w:val="0"/>
          <w:numId w:val="1"/>
        </w:numPr>
        <w:spacing w:after="0" w:before="0"/>
        <w:ind w:right="0" w:hanging="360" w:left="1647"/>
        <w:jc w:val="both"/>
        <w:outlineLvl w:val="9"/>
        <w:rPr>
          <w:color w:val="000000"/>
        </w:rPr>
      </w:pPr>
      <w:r>
        <w:rPr>
          <w:rFonts w:ascii="Times New Roman" w:hAnsi="Times New Roman" w:eastAsia="Times New Roman" w:cs="Times New Roman"/>
          <w:color w:val="000000"/>
          <w:sz w:val="28"/>
          <w:szCs w:val="28"/>
        </w:rPr>
        <w:t xml:space="preserve">с правом второй подписи: заместитель  директора – начальник УБУиО - главный бухгалтер Беседина Людмила Арнольдовна; заместитель начальника УБУ и О - заместитель главного бухгалтера Погодина Елена Борисовна, в должности до 23.03.2024, заместитель начальника УБУ и О - заместитель главного бухгалтера Силиванова Ольга Валерьевна, заместитель начальника управления-начальник отдела Дербенева Светлана Николаевна.</w:t>
      </w:r>
    </w:p>
    <w:p>
      <w:pPr>
        <w:spacing w:after="0" w:before="0"/>
        <w:ind w:right="0" w:firstLine="567" w:left="0"/>
        <w:jc w:val="both"/>
        <w:outlineLvl w:val="9"/>
        <w:rPr>
          <w:color w:val="000000"/>
        </w:rPr>
      </w:pPr>
      <w:r>
        <w:rPr>
          <w:rFonts w:ascii="Times New Roman" w:hAnsi="Times New Roman" w:eastAsia="Times New Roman" w:cs="Times New Roman"/>
          <w:color w:val="000000"/>
          <w:sz w:val="28"/>
          <w:szCs w:val="28"/>
        </w:rPr>
        <w:t xml:space="preserve">Территориальный фонд обязательного медицинского страхования Еврейской автономной области создан решением Малого Совета областного Совета народных депутатов ЕАО от 26.03.93г. № 51.</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Фонд не имеет подведомственных или обособленных учреждений (филиалов). </w:t>
      </w:r>
    </w:p>
    <w:p>
      <w:pPr>
        <w:spacing w:after="0" w:before="0"/>
        <w:ind w:right="0" w:firstLine="567" w:left="0"/>
        <w:jc w:val="both"/>
        <w:outlineLvl w:val="9"/>
        <w:rPr>
          <w:color w:val="000000"/>
        </w:rPr>
      </w:pPr>
      <w:r>
        <w:rPr>
          <w:rFonts w:ascii="Times New Roman" w:hAnsi="Times New Roman" w:eastAsia="Times New Roman" w:cs="Times New Roman"/>
          <w:color w:val="000000"/>
          <w:sz w:val="28"/>
          <w:szCs w:val="28"/>
        </w:rPr>
        <w:t xml:space="preserve">Имущество ТФОМС ЕАО является государственной  собственностью Еврейской автономной области  и закреплено за  ним на праве оперативного управления.</w:t>
      </w:r>
    </w:p>
    <w:p>
      <w:pPr>
        <w:spacing w:after="0" w:before="0"/>
        <w:ind w:right="0" w:firstLine="567" w:left="0"/>
        <w:jc w:val="both"/>
        <w:outlineLvl w:val="9"/>
        <w:rPr>
          <w:color w:val="000000"/>
        </w:rPr>
      </w:pPr>
      <w:r>
        <w:rPr>
          <w:rFonts w:ascii="Times New Roman" w:hAnsi="Times New Roman" w:eastAsia="Times New Roman" w:cs="Times New Roman"/>
          <w:color w:val="000000"/>
          <w:sz w:val="28"/>
          <w:szCs w:val="28"/>
        </w:rPr>
        <w:t xml:space="preserve">Фонд наделен правами администратора доходов бюджета ТФОМС ЕАО и ФФОМС согласно приказу ТФОМС ЕАО от 16.08.2021 №146-од.</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Фонду открыты:</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 лицевой счет получателя бюджетных средств в УФК по ЕАО </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   № 03785800010;</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  лицевой счет администратора доходов бюджета  №04785800010.</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 - лицевой счет для учета операций со средствами, поступающими </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   во временное распоряжение № 05785800010</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Банковских счетов в кредитных учреждениях фонд не имеет.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Бюджетный учет, составление и представление отчетности осуществляется управлением бухгалтерского учета и отчетности, которое возглавляет заместитель директора- начальник УБУ и О – главный бухгалтер Беседина Л.А.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Фонд осуществляет свою деятельность в соответствии с Положением о территориальном фонде обязательного медицинского страхования, утвержденным Постановлением правительства ЕАО от 03.04.2012 № 139-пп (ред. от 03.09.2013 № 413-пп, от 12.12.2017 № 496-пп, от 03.12.2021 №490-пп);</w:t>
      </w:r>
      <w:r>
        <w:rPr>
          <w:rFonts w:ascii="Calibri" w:hAnsi="Calibri" w:eastAsia="Calibri" w:cs="Calibri"/>
          <w:color w:val="000000"/>
          <w:sz w:val="22"/>
          <w:szCs w:val="22"/>
        </w:rPr>
        <w:t xml:space="preserve"> </w:t>
      </w:r>
      <w:r>
        <w:rPr>
          <w:rFonts w:ascii="Times New Roman" w:hAnsi="Times New Roman" w:eastAsia="Times New Roman" w:cs="Times New Roman"/>
          <w:color w:val="000000"/>
          <w:sz w:val="28"/>
          <w:szCs w:val="28"/>
        </w:rPr>
        <w:t xml:space="preserve">Положением о территориальном фонде обязательного медицинского страхования, утвержденным Постановлением правительства ЕАО от 06.06.2024 № 237-пп.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В системе обязательного медицинского страхования области на 01.01.2025 работает 40 медицинских организаций, в том числе 23 частной и  1 иной  форм собственности.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В системе обязательного медицинского страхования ЕАО работают две страховые компании: филиал ООО «Капитал Медицинское Страхование» в Еврейской автономной области, Дирекция Еврейской АО Хабаровского филиала АО «Страховая компания «СОГАЗ-Мед», которые осуществляют свою деятельность в соответствии с договорами и лицензиями, предоставляющими право осуществлять обязательное медицинское страхование на территории ЕАО. </w:t>
      </w:r>
    </w:p>
    <w:p>
      <w:pPr>
        <w:spacing w:after="0" w:before="0"/>
        <w:ind w:right="0" w:firstLine="708" w:left="0"/>
        <w:jc w:val="both"/>
        <w:outlineLvl w:val="9"/>
        <w:rPr>
          <w:color w:val="000000"/>
        </w:rPr>
      </w:pPr>
      <w:r>
        <w:rPr>
          <w:rFonts w:ascii="Times New Roman" w:hAnsi="Times New Roman" w:eastAsia="Times New Roman" w:cs="Times New Roman"/>
          <w:color w:val="000000"/>
          <w:sz w:val="28"/>
          <w:szCs w:val="28"/>
        </w:rPr>
        <w:t xml:space="preserve">Штатная численность работников по штатному расписанию утверждена в количестве 57 единиц.</w:t>
      </w:r>
    </w:p>
    <w:p>
      <w:pPr>
        <w:spacing w:after="0" w:before="0"/>
        <w:ind w:right="0" w:firstLine="0" w:left="0"/>
        <w:outlineLvl w:val="9"/>
        <w:rPr>
          <w:color w:val="000000"/>
        </w:rPr>
      </w:pPr>
      <w:r>
        <w:rPr>
          <w:color w:val="000000"/>
        </w:rPr>
        <w:t xml:space="preserve"> </w:t>
      </w:r>
    </w:p>
    <w:p>
      <w:pPr>
        <w:spacing w:after="0" w:before="0"/>
        <w:ind w:right="0" w:firstLine="0" w:left="0"/>
        <w:jc w:val="center"/>
        <w:outlineLvl w:val="9"/>
        <w:rPr>
          <w:color w:val="000000"/>
        </w:rPr>
      </w:pPr>
      <w:r>
        <w:rPr>
          <w:rFonts w:ascii="Times New Roman" w:hAnsi="Times New Roman" w:eastAsia="Times New Roman" w:cs="Times New Roman"/>
          <w:color w:val="000000"/>
          <w:sz w:val="28"/>
          <w:szCs w:val="28"/>
        </w:rPr>
        <w:t xml:space="preserve">Раздел 2. Результаты деятельности ТФОМС ЕАО</w:t>
      </w:r>
    </w:p>
    <w:p>
      <w:pPr>
        <w:spacing w:after="0" w:before="0"/>
        <w:ind w:right="0" w:firstLine="0" w:left="0"/>
        <w:outlineLvl w:val="9"/>
        <w:rPr>
          <w:color w:val="000000"/>
        </w:rPr>
      </w:pPr>
      <w:r>
        <w:rPr>
          <w:rFonts w:ascii="Times New Roman" w:hAnsi="Times New Roman" w:eastAsia="Times New Roman" w:cs="Times New Roman"/>
          <w:color w:val="000000"/>
          <w:sz w:val="28"/>
          <w:szCs w:val="28"/>
        </w:rPr>
        <w:t xml:space="preserve">Структурные подразделения ТФОМС ЕАО обеспечены исходя из потребности:</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1. машины вычислительные, оборудование:</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 ПЭВМ в количестве 80 штук (с серверами и СХД).  Техническое состояние хорошее;</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 копировальная техника в количестве 36 штук. Техническое состояние хорошее. Копировальная техника Lexmark на забалансе в количестве 2 шт., по причине отсутствия расходных материалов в продаже.</w:t>
      </w:r>
    </w:p>
    <w:p>
      <w:pPr>
        <w:spacing w:after="0" w:before="0"/>
        <w:ind w:right="0" w:firstLine="0" w:left="0"/>
        <w:jc w:val="both"/>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2. транспортные средства:</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ТФОМС ЕАО обеспечен автомобилями. Техническое состояние автомобилей Nissan Serena, государственный номерной знак А037АА79, UAZ Patriot, государственный номерной знак С041КР79, исправное.</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Основными мероприятиями по поддержанию технического состояния  основных средств на надлежащем уровне и обеспечению их сохранности являются правильная эксплуатация и бережное отношение персонала к имуществу фонда.</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В соответствии с требованиями Федерального закона от 05.04.2013 №44-ФЗ «О контрактной системе в сфере закупок товаров, работ, услуг для обеспечения государственных и муниципальных нужд» и в целях эффективного использования средств бюджета территориального государственного внебюджетного фонда в 2024 году были проведены следующие процедуры размещения заказов:</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оказание услуг по сопровождению программного продукта «Электронная медицина. Экспертиза ОМС» на 2025 год.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465 960 (Четыреста шестьдесят пять тысяч девятьсот шестьдесят) рублей 00 копеек. В результате размещения была подана только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оказание услуг по сопровождению программного продукта Информационная система «Межтерриториальные расчеты» на 2025 год.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465 960 (Четыреста шестьдесят пять тысяч девятьсот шестьдесят) рублей 00 копеек. В результате размещения была подана только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оказание услуг по сопровождению и адаптации программного продукта «1С:Предприятие 8» на 2025 год.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196 860 (Сто девяносто шесть тысяч восемьсот шестьдесят) рублей 00 копеек. В результате размещения была подана только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адаптации и сопровождению экземпляров Систем Консультант Плюс, оказываемых на основе специального лицензионного сервисного программного обеспечения,обеспечивающего совместимость (взаимодействие) услуг с ранее установленными в ТФОМС ЕАО на 2025 год.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475 794 (Четыреста семьдесят пять тысяч семьсот девяносто четыре) рубля 00 копеек.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В результате размещения была подана только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20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автомобильного бензина АИ-92 на 1-е полугодие 2025 года. Аукцион проводился с предоставлением преимущества субъектам малого предпринимательства, социально ориентированным некоммерческим организациям. Максимальное значение цены контракта было установлено в размере 154 494 (Сто пятьдесят четыре тысячи четыреста девяносто четыре) рубля 00 копеек. В результате размещения была подана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20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аттестации информационной системы по требованиям безопасности информации. Аукцион проводился с предоставлением преимущества субъектам малого предпринимательства, социально ориентированным некоммерческим организациям. Максимальное значение цены контракта было установлено в размере 495 972 (Четыреста девяносто пять тысяч девятьсот семьдесят два) рубля 62 копейки. В результате размещения была подана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20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средств защиты информации (USB-токены). Аукцион проводился с предоставлением преимущества субъектам малого предпринимательства, социально ориентированным некоммерческим организациям. Максимальное значение цены контракта было установлено в размере 12 625 (Двенадцать тысяч шестьсот двадцать пять) рублей 00 копеек. В результате размещения была подана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20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предоставлению неисключительных прав (лицензий) на использование программного обеспечения RedCheck.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49 680 (Сорок девять тысяч шестьсот восемьдесят) рублей 00 копеек. В результате размещения заказа было подано 3 (три)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45 119 (Сорок пять тысяч сто девятнадцать) рублей 34 копейки. Экономия денежных средств составила 4 560 (Четыре тысячи пятьсот шестьдесят) рублей 66 копеек;</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аккумуляторов для источников бесперебойного питания.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40 450 (Сорок тысяч четыреста пятьдесят) рублей 63 копейки. В результате размещения заказа было подано 8 (восемь)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15 992 (Пятнадцать тысяч девятьсот девяносто два) рубля 75 копеек. Экономия денежных средств составила 24 457 (Двадцать четыре тысячи четыреста пятьдесят семь) рублей 88 копеек;</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поставку источников бесперебойного питания (ИБП).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29 761 (Двадцать девять тысяч семьсот шестьдесят один) рубль 65 копеек. В результате размещения заказа было подано 2 (две)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29 016 (Двадцать девять тысяч шестнадцать) рублей 00 копеек. Экономия денежных средств составила 745 (Семьсот сорок пять) рублей 65 копеек;</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предоставлению неисключительных прав (лицензий) на использование операционной системы специального назначения Astra Linux Special Edition.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385 344 (Триста восемьдесят пять тысяч триста сорок четыре) рубля 76 копеек. В результате размещения заказа было подано 5 (пять)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378 723 (Триста семьдесят восемь тысяч семьсот двадцать три) рубля 28 копеек. Экономия денежных средств составила 6 621 (Шесть тысяч шестьсот двадцать один) рубль 48 копеек;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оказание услуг по предоставлению сертификата активации сервиса обновления баз решающих правил ПАК ViPNet IDS NS100 3.x.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41 660 (Сорок одна тысяча шестьсот шестьдесят) рублей 00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системного блока.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47 227 (Сорок семь тысяч двести двадцать семь) рублей 67 копеек. В результате размещения заказа было подано 4 (четыре)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27 874 (Двадцать семь тысяч восемьсот семьдесят четыре) рубля 74 копейки. Экономия денежных средств составила 19 352 (Девятнадцать тысяч триста пятьдесят два) рубля 93 копейки (неустойка);</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бумаги для офисной техники.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168 870 (Сто шестьдесят восемь тысяч восемьсот семьдесят) рублей 48 копеек. В результате размещения заказа было подано 2 (две)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133 914 (Сто тридцать три тысячи девятьсот четырнадцать) рублей 33 копейки. Экономия денежных средств составила 34 956 (Тридцать четыре тысячи девятьсот пятьдесят шесть) рублей 15 копеек;</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предоставлению сертификатов активации сервиса совместной технической поддержки продуктов ViPNet.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207 089 (Двести семь тысяч восемьдесят девять) рублей 17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продлению лицензий на право использовать компьютерное программное обеспечение (Kaspersky Endpoint Security).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133 012 (Сто тридцать три тысячи двенадцать) рублей 94 копейки. В результате размещения заказа было подано 6 (шесть)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131 420 (Сто тридцать одна тысяча четыреста двадцать) рублей 78 копеек. Экономия денежных средств составила 1 592 (Одна тысяча пятьсот девяносто два) рубля 16 копеек;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сервера.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255 922 (Двести пятьдесят пять тысяч девятьсот двадцать два) рубля 67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поставку картриджей для оргтехники.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314 950 (Триста четырнадцать тысяч девятьсот пятьдесят) рублей 50 копеек. В результате размещения заказа было подано 7 (семь)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163 774 (Сто шестьдесят три тысячи семьсот семьдесят четыре) рубля 20 копеек. Экономия денежных средств составила 151 176 (Сто пятьдесят одна тысяча сто семьдесят шесть) рублей 30 копеек;</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шин для легкового автомобиля.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59 603 (Пятьдесят девять тысяч шестьсот три) рубля 68 копеек. В результате размещения заказа было подано 3 (три)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57 815 (Пятьдесят семь тысяч восемьсот пятнадцать) рублей 56 копеек. Экономия денежных средств составила 1 788 (Одна тысяча семьсот восемьдесят восемь) рублей 12 копеек;</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оказание услуг по предоставлению неисключительных прав (лицензий) на использование программного обеспечения ViPNet Client 4Ufor Linux.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48 100 (Сорок восемь тысяч сто) рублей 00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предоставлению неисключительных прав (лицензий) на использование операционной системы специального назначения Astra Linux Special Edition для сервера.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56 433 (Пятьдесят шесть тысяч четыреста тридцать три) рубля 33 копейки. В результате размещения заказа было подано 11 (одиннадцать)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47 682 (Сорок семь тысяч шестьсот восемьдесят два) рубля 83 копейки. Экономия денежных средств составила 8 750 (Восемь тысяч семьсот пятьдесят) рублей 50 копеек;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 аукцион в электронной форме на поставку видеорегистратора - IP.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26 199 (Двадцать шесть тысяч сто девяносто девять) рублей 00 копеек. В результате размещения была подана только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оказание услуг по предоставлению неисключительных прав (лицензий) на использование программного обеспечения СКЗИ «КриптоПро CSP».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52 650 (Пятьдесят две тысячи шестьсот пятьдесят) рублей 00 копеек. В результате размещения заказа было подано 6 (шесть) заявок,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36 850 (Тридцать шесть тысяч восемьсот пятьдесят) рублей 48 копеек. Экономия денежных средств составила 15 799 (Пятнадцать тысяч семьсот девяносто девять) рублей 52 копейки;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и монтаж кондиционера с зимним комплектом.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158 693 (Сто пятьдесят восемь тысяч шестьсот девяносто три) рубля 34 копейки. В результате размещения заказа было подано 4 (четыре)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41 826 (Сорок одна тысяча восемьсот двадцать шесть) рублей 83 копейки. Экономия денежных средств составила 116 866 (Сто шестнадцать тысяч восемьсот шестьдесят шесть) рублей 51 копейка;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программно - аппаратного комплекса «Соболь».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113 066 (Сто тринадцать тысяч шестьдесят шесть) рублей 68 копеек. В результате размещения заказа было подано 3 (три)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89 888 (Восемьсот девяносто тысяч восемьсот восемьдесят восемь) рублей 15 копеек. Экономия денежных средств составила 23 178 (Двадцать три тысячи сто семьдесят восемь) рублей 53 копейки; </w:t>
      </w:r>
    </w:p>
    <w:p>
      <w:pPr>
        <w:spacing w:after="20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автомобильного бензина АИ-92 на 2-е полугодие 2024 года. Аукцион проводился с предоставлением преимущества субъектам малого предпринимательства, социально ориентированным некоммерческим организациям. Максимальное значение цены контракта было установлено в размере 180 800 (Сто восемьдесят тысяч восемьсот) рублей 00 копеек. В результате размещения была подана 1 (одна) заявка, в связи с этим электронный аукцион признан несостоявшимся на основании части 16 статьи 66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 заключен с единственным участником в соответствии с п.25 ч.1 ст.93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аукцион в электронной форме на поставку сетевого POE - оборудования (коммутаторов). Аукцион проводился с предоставлением преимущества субъектам малого предпринимательства, социально ориентированным некоммерческим организациям. Начальная (максимальная) цена контракта была установлена в размере 306 804 (Триста шесть тысяч восемьсот четыре) рубля 00 копеек. В результате размещения заказа было подано 3 (три) заявки, победителем был признан участник электронного аукциона, который предложил наиболее низкую цену контракта и заявка которого, соответствовала требованиям, установленным извещением об осуществлении закупки. Цена заключенного контракта составила – 246 931 (Двести сорок шесть тысяч девятьсот тридцать один) рубль 96 копеек. Экономия денежных средств составила 59 872 (Пятьдесят девять тысяч восемьсот семьдесят два) рубля 04 копейки;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В январе 2024 года были заключены контракты с единственными поставщиками на 2024 год в соответствии с пунктами 1, 2, 8,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pPr>
        <w:spacing w:after="0" w:before="0"/>
        <w:ind w:right="0" w:firstLine="709" w:left="0"/>
        <w:jc w:val="both"/>
        <w:outlineLvl w:val="9"/>
        <w:rPr>
          <w:color w:val="000000"/>
        </w:rPr>
      </w:pPr>
      <w:r>
        <w:rPr>
          <w:color w:val="000000"/>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Сотрудники ТФОМС ЕАО постоянно проходят повышение квалификации. В 2024 году прошли обучение за пределами территории Еврейской автономной области следующие сотрудники ТФОМС ЕАО:</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1. Главный специалист-эксперт отдела бухгалтерского учета и отчетности в ООО «Деловое образование» по теме: «Учет нефинансовых активов в 2024 году учреждениями государственного сектора с учетом перехода на ЭДО и новых требований по проведению инвентаризации»;</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2. Заместитель начальника УБУиО – заместитель главного бухгалтера и главный специалист-эксперт отдела бухгалтерского учета и отчетности в АНОО ДПО «ТВШЭУ» по теме: «Сложные и актуальные вопросы отчетности учреждений за полугодие 2024 года. Новое в электронном документообороте.»;</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3. Заместитель начальника УБУиО – заместитель главного бухгалтера и главный специалист-эксперт отдела бухгалтерского учета и отчетности в АНОО ДПО «ТВШЭУ» по теме: «Сложные и актуальные вопросы годовой отчетности. Новое в электронном документообороте.»;</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(Всего за 2024 год прошли обучение 2 специалиста).</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p>
    <w:p>
      <w:pPr>
        <w:spacing w:after="0" w:before="0"/>
        <w:ind w:right="0" w:firstLine="0" w:left="720"/>
        <w:jc w:val="center"/>
        <w:outlineLvl w:val="9"/>
        <w:rPr>
          <w:color w:val="000000"/>
        </w:rPr>
      </w:pPr>
      <w:r>
        <w:rPr>
          <w:rFonts w:ascii="Times New Roman" w:hAnsi="Times New Roman" w:eastAsia="Times New Roman" w:cs="Times New Roman"/>
          <w:color w:val="000000"/>
          <w:sz w:val="28"/>
          <w:szCs w:val="28"/>
        </w:rPr>
        <w:t xml:space="preserve">3. Анализ отчета об исполнении бюджета ТФОМС ЕАО</w:t>
      </w:r>
    </w:p>
    <w:p>
      <w:pPr>
        <w:spacing w:after="0" w:before="0"/>
        <w:ind w:right="0" w:firstLine="0" w:left="0"/>
        <w:outlineLvl w:val="9"/>
        <w:rPr>
          <w:color w:val="000000"/>
        </w:rPr>
      </w:pPr>
      <w:r>
        <w:rPr>
          <w:color w:val="000000"/>
        </w:rPr>
        <w:t xml:space="preserve"> </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Реализация Федерального закона Российской федерации от 29.11.2010 № 326-ФЗ «Об обязательном медицинском страховании в Российской Федерации» на территории Еврейской автономной области проводится в соответствии с постановлением Правительства Российской Федерации от 28.12.2023 № 2353 «О Программе государственных гарантий бесплатного оказания гражданам медицинской помощи на 2024 год и на плановый период 2025 и 2026 годов», постановлением правительства Еврейской автономной области от 14.03.2024 № 113-пп «Об утверждении Территориальной программы государственных гарантий бесплатного оказания гражданам Российской Федерации на территории Еврейской автономной области медицинской помощи на 2024 год и на плановый период 2025 и 2026 годов».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Законом области от15.12.2023 № 357-ОЗ «О бюджете территориального фонда обязательного медицинского страхования Еврейской автономной области на 2024 год и плановый период 2025 и 2026 годов» утверждены источники и размеры средств на выполнение территориальной программы обязательного медицинского страхования в сумме 4 331 613 720,00 рублей.</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До всех медицинских организаций доведены объемы медицинской помощи и размеры финансирования на 2024 год. </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На 2024 год бюджет ТФОМС ЕАО утвержден по доходам в сумме 4 334 893 680,00 рублей, по расходам – 4 767 593 650,00 рублей. </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Фактическое исполнение бюджета ТФОМС ЕАО по доходам составило 4 458 795 107,75 рублей или 102,86 % от утвержденных бюджетных назначений. Фактическое исполнение бюджета ТФОМС ЕАО по расходам составило 4 403 739 312,17 рублей или 92,34 % от бюджетных назначений. </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Отклонения от утвержденных годовых бюджетных назначений обусловлены следующими причинами.</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0113 7820050930 отклонение составило 5 308 698,29 рублей – экономия по смете АУП ТФОМС.</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КВР 142 Командировочные расходы (суточные, найм жилья, оплата за обучение) – 543 903,50 рублей в связи с небольшим количеством приглашений на обучение.</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КВР 242 Заправка картриджей осуществляется в меньшем, по сравнению с предыдущими годами, объеме, так как установлены принтеры, у которых картриджи не заправляются соответствующими организациями, работающими на территории области. Экономия составила 79 942,0 рубля.</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Расходы на переаттестацию информационных систем не исполнены на 1 482 000,0 рублей, но в первом квартале 2025 года организация, с которой заключен договор на выполнение части работ в сумме 495 972,62 рублей, гарантировала закончить аттестацию и денежные средства будут освоены. На оставшуюся сумму договоры не заключались, так как организации, откликнувшиеся на запрос о проведении аттестации, затягивали предоставление коммерческих предложений, ссылаясь на загруженность их сотрудников, так как оценка работ по аттестации занимает много времени.</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Запасные части для оборудования и оргтехники приобретены по потребности, экономия составила 108 471,90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КВР 243 Ремонт гаража в сумме 400 327,0 рублей не проведен, так как при подготовке документов в Комитет государственного имущества правительства ЕАО было выявлено несоответствие фактического места нахождения нежилого помещения (гаража), пострадавшего от пожара, и места нахождения отраженного в плане объекта и в документах на право собственности. В связи с открывшимися обстоятельствами, необходимость выполнения ремонта гаража отпала, так как по факту гараж, принадлежащий по документам ТФОМС ЕАО, не пострадал.</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КВР 244 Расходы на техническое обслуживание и ремонт автотранспортных средств запланированы согласно предварительному техосмотру, а фактические расходы меньше на 40 430,0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Текущий ремонт помещений, кровли крыши крыльца и части внешней стены проведен не всех запланированных объектов, так как маленький объем работ и их небольшая стоимость не привлекательны для исполнителей, экономия составила 313 056,23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Экономия расходов на оплату труда и начислений на оплату труда несписочного состава составила 1 072 682,49 рублей в связи со значительным  уменьшением количества экспертиз по претензиям.</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Расходы на публикацию материалов о работе территориального фонда на 82 000,0 рублей меньше запланированного.</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Кондиционер в серверную приобретен на 123 172,17 рублей дешевле, чем первоначальные коммерческие предложения. При проведении аукциона поставщиком предложен кондиционер, подходящий под каталог товаров, работ, услуг и обладающий меньшей ценой.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Экономия по расходам на приобретение горюче-смазочных материалов составила 154 064,80 рублей – не принят на работу второй водитель из-за низкой заработной платы.</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Расходы по приобретению запасных частей запланированы по рекомендациям к замене и установке запасных частей. Фактические расходы меньше на 64 180,44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Канцелярские, письменные принадлежности и хозяйственные товары закуплены по более низкой цене, сложившейся на дату приобретения. Дезинфекционные растворы закупались в значительно меньшем количестве в связи с нормальной эпидемиологической обстановкой. Экономия составила 230 098,67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Потребление тепловой энергии и электрической энергии фактически меньше запланированного в связи с относительно нежарким летом и зимой без сильных морозов. Экономия составила 218 605,40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Оставшиеся 395 763,69 рублей (7,5% от общей суммы остатка) сформировались по результатам проведения аукционов.</w:t>
      </w:r>
      <w:bookmarkStart w:id="0" w:name="_GoBack"/>
      <w:bookmarkEnd w:id="0"/>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7810050930 отклонение составило 320 665 144,80 рублей. Причиной использования не в полном объеме в 2024 году субвенции является финансирование страховых медицинских организаций на финансовое обеспечение обязательного медицинского страхования за декабрь 2024 года в размере заявки на получение целевых средств на авансирование медицинской помощи в сумме заявок медицинских организаций, но не более одной двенадцатой объема годового финансового обеспечения. Окончательный расчет за оказанную в декабре 2024 года медицинскую помощь осуществляется в следующем месяце, то есть в январе 2025 года.</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7810070930 613 отклонение составило 10 324 080,44 рублей.</w:t>
      </w:r>
      <w:r>
        <w:rPr>
          <w:rFonts w:ascii="Tahoma" w:hAnsi="Tahoma" w:eastAsia="Tahoma" w:cs="Tahoma"/>
          <w:color w:val="000000"/>
          <w:sz w:val="18"/>
          <w:szCs w:val="18"/>
        </w:rPr>
        <w:t xml:space="preserve"> </w:t>
      </w:r>
      <w:r>
        <w:rPr>
          <w:rFonts w:ascii="Times New Roman" w:hAnsi="Times New Roman" w:eastAsia="Times New Roman" w:cs="Times New Roman"/>
          <w:color w:val="000000"/>
          <w:sz w:val="28"/>
          <w:szCs w:val="28"/>
        </w:rPr>
        <w:t xml:space="preserve">Расходование средств по данному направлению расходов бюджета территориального фонда осуществлялось в соответствии с планом мероприятий, утвержденным департаментом здравоохранения. Часть средств не освоена медицинскими организациями по причине длительности проведения конкурсных процедур. Все заявки, представленные медицинскими организациями, оплачены.</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Средства, поступившие на формирование нормированного страхового запаса для финансового обеспечения мероприятий, но не освоенные в 2024 году, направлены территориальным фондом обязательного медицинского страхования на формирование нормированного страхового запаса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 2025 году.</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7810070940 323 отклонение составило 24 756 377,64 рублей. Сократились объемы медицинской помощи, оказанной медицинскими организациями области лицам, застрахованным других субъектах. Оплата медицинской помощи произведена в полном объеме согласно представленным реестрам.</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7810070950 323 отклонение составило 199 814,39 тыс. рублей. Объем средств от начисленных штрафов, пеней и иных источников, поступивших для осуществления расходов по данному направлению, ниже запланированного.</w:t>
      </w:r>
    </w:p>
    <w:p>
      <w:pPr>
        <w:spacing w:after="0" w:before="0"/>
        <w:ind w:right="0" w:firstLine="700" w:left="0"/>
        <w:jc w:val="both"/>
        <w:outlineLvl w:val="9"/>
        <w:rPr>
          <w:color w:val="000000"/>
        </w:rPr>
      </w:pPr>
      <w:r>
        <w:rPr>
          <w:rFonts w:ascii="Times New Roman" w:hAnsi="Times New Roman" w:eastAsia="Times New Roman" w:cs="Times New Roman"/>
          <w:color w:val="000000"/>
          <w:sz w:val="28"/>
          <w:szCs w:val="28"/>
        </w:rPr>
        <w:t xml:space="preserve">По коду бюджетной классификации 000 0909 7810070961 323 отклонение составило 2 600139,51 рублей. В декабре 2024 года произведено авансирование медицинских организаций согласно заявкам страховых медицинских организаций. Остаток средств межбюджетного трансферта из бюджета субъекта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образовавшийся по состоянию на 01.01.2025, будет подтвержден и направлен на завершение расчетов с медицинскими организациями за медицинскую помощь, оказанную в декабре 2024 года. </w:t>
      </w:r>
    </w:p>
    <w:p>
      <w:pPr>
        <w:spacing w:after="0" w:before="0"/>
        <w:ind w:right="0" w:firstLine="720" w:left="0"/>
        <w:jc w:val="both"/>
        <w:outlineLvl w:val="9"/>
        <w:rPr>
          <w:color w:val="000000"/>
        </w:rPr>
      </w:pPr>
      <w:r>
        <w:rPr>
          <w:color w:val="000000"/>
        </w:rPr>
        <w:t xml:space="preserve"> </w:t>
      </w:r>
    </w:p>
    <w:p>
      <w:pPr>
        <w:spacing w:after="0" w:before="0"/>
        <w:ind w:right="0" w:firstLine="720" w:left="0"/>
        <w:jc w:val="both"/>
        <w:outlineLvl w:val="9"/>
        <w:rPr>
          <w:color w:val="000000"/>
        </w:rPr>
      </w:pPr>
      <w:r>
        <w:rPr>
          <w:rFonts w:ascii="Times New Roman" w:hAnsi="Times New Roman" w:eastAsia="Times New Roman" w:cs="Times New Roman"/>
          <w:color w:val="000000"/>
          <w:sz w:val="28"/>
          <w:szCs w:val="28"/>
        </w:rPr>
        <w:t xml:space="preserve">На конец отчетного финансового года ТФОМС ЕАО не использован остаток средств на лицевом счете в УФК по ЕАО в размере </w:t>
      </w: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353517153,39 рублей.</w:t>
      </w:r>
    </w:p>
    <w:p>
      <w:pPr>
        <w:spacing w:after="0" w:before="0"/>
        <w:ind w:right="0" w:firstLine="720" w:left="0"/>
        <w:jc w:val="both"/>
        <w:outlineLvl w:val="9"/>
        <w:rPr>
          <w:color w:val="000000"/>
        </w:rPr>
      </w:pPr>
      <w:r>
        <w:rPr>
          <w:rFonts w:ascii="Times New Roman" w:hAnsi="Times New Roman" w:eastAsia="Times New Roman" w:cs="Times New Roman"/>
          <w:color w:val="000000"/>
          <w:sz w:val="28"/>
          <w:szCs w:val="28"/>
        </w:rPr>
        <w:t xml:space="preserve">Из них: </w:t>
      </w:r>
    </w:p>
    <w:p>
      <w:pPr>
        <w:spacing w:after="0" w:before="0"/>
        <w:ind w:right="0" w:firstLine="720" w:left="0"/>
        <w:jc w:val="both"/>
        <w:outlineLvl w:val="9"/>
        <w:rPr>
          <w:color w:val="000000"/>
        </w:rPr>
      </w:pPr>
      <w:r>
        <w:rPr>
          <w:rFonts w:ascii="Times New Roman" w:hAnsi="Times New Roman" w:eastAsia="Times New Roman" w:cs="Times New Roman"/>
          <w:color w:val="000000"/>
          <w:sz w:val="28"/>
          <w:szCs w:val="28"/>
        </w:rPr>
        <w:t xml:space="preserve">- 325973843,07 рублей – субвенция на финансовое обеспечение организации обязательного медицинского страхования на территориях субъектов РФ. В декабре 2024  года произведено авансирование медицинских организаций в размере не более 95 % от среднемесячного объема средств, направляемых на оплату медицинской помощи. Остаток средств субвенции на финансовое обеспечение организации обязательного медицинского страхования планируется направить на завершение расчетов с медицинскими организациями за медицинские услуги, выполненные в декабре 2024 года. В соответствии с письмом ФФОМС от 24.12.2024 №00-10-21-1-06/20776 возможно использование остатков межбюджетных трансфертов, имеющих целевое назначение, не использованных по состоянию на 01.01.2025, при подтверждении потребности в них.</w:t>
      </w:r>
    </w:p>
    <w:p>
      <w:pPr>
        <w:spacing w:after="0" w:before="0"/>
        <w:ind w:right="0" w:firstLine="720" w:left="0"/>
        <w:jc w:val="both"/>
        <w:outlineLvl w:val="9"/>
        <w:rPr>
          <w:color w:val="000000"/>
        </w:rPr>
      </w:pPr>
      <w:r>
        <w:rPr>
          <w:rFonts w:ascii="Times New Roman" w:hAnsi="Times New Roman" w:eastAsia="Times New Roman" w:cs="Times New Roman"/>
          <w:color w:val="000000"/>
          <w:sz w:val="28"/>
          <w:szCs w:val="28"/>
        </w:rPr>
        <w:t xml:space="preserve">- 31,40 рублей – остаток субвенции, сформированной в составе нормированного страхового запаса ТФОМС ЕАО для софинансирования расходов медицинских организаций на оплату труда врачей  и среднего медицинского персонала.  </w:t>
      </w:r>
    </w:p>
    <w:p>
      <w:pPr>
        <w:spacing w:after="0" w:before="0"/>
        <w:ind w:right="0" w:firstLine="0" w:left="0"/>
        <w:jc w:val="both"/>
        <w:outlineLvl w:val="9"/>
        <w:rPr>
          <w:color w:val="000000"/>
        </w:rPr>
      </w:pPr>
      <w:r>
        <w:rPr>
          <w:rFonts w:ascii="Times New Roman" w:hAnsi="Times New Roman" w:eastAsia="Times New Roman" w:cs="Times New Roman"/>
          <w:color w:val="000000"/>
          <w:sz w:val="28"/>
          <w:szCs w:val="28"/>
        </w:rPr>
        <w:t xml:space="preserve">- 41,36 рублей  – остаток  межбюджетного трансферта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p>
      <w:pPr>
        <w:spacing w:after="0" w:before="0"/>
        <w:ind w:right="0" w:firstLine="540" w:left="0"/>
        <w:jc w:val="both"/>
        <w:outlineLvl w:val="9"/>
        <w:rPr>
          <w:color w:val="000000"/>
        </w:rPr>
      </w:pPr>
      <w:r>
        <w:rPr>
          <w:rFonts w:ascii="Times New Roman" w:hAnsi="Times New Roman" w:eastAsia="Times New Roman" w:cs="Times New Roman"/>
          <w:color w:val="000000"/>
          <w:sz w:val="28"/>
          <w:szCs w:val="28"/>
        </w:rPr>
        <w:t xml:space="preserve">2600140,81  рублей – остаток межбюджетного трансферта из бюджета субъекта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w:t>
      </w:r>
    </w:p>
    <w:p>
      <w:pPr>
        <w:spacing w:after="200" w:before="0"/>
        <w:ind w:right="0" w:firstLine="0" w:left="0"/>
        <w:jc w:val="both"/>
        <w:outlineLvl w:val="9"/>
        <w:rPr>
          <w:color w:val="000000"/>
        </w:rPr>
      </w:pPr>
      <w:r>
        <w:rPr>
          <w:rFonts w:ascii="Times New Roman" w:hAnsi="Times New Roman" w:eastAsia="Times New Roman" w:cs="Times New Roman"/>
          <w:color w:val="000000"/>
          <w:sz w:val="28"/>
          <w:szCs w:val="28"/>
        </w:rPr>
        <w:t xml:space="preserve">- 13202775,49 рублей  – средства из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Нормированный страховой запас был сформирован в сумме 20 603 834,56 рублей. ТФОМС ЕАО предоставлены средства нормированного страхового запаса медицинским организациям, участвующим в реализации территориальной программы обязательного медицинского страхования, на основании заключенного соглашения о финансовом обеспечении мероприятий в размере 41 885 059,56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Использование средств для финансового обеспечения мероприятий осуществлялось только при соблюдении условий, установленных Правилами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работников по программам повышения квалификации, а также по приобретению и проведению ремонта медицинского оборудования, утвержденными постановлением правительства РФ от 26.02.2021 №273.</w:t>
      </w:r>
    </w:p>
    <w:p>
      <w:pPr>
        <w:spacing w:after="0" w:before="0"/>
        <w:ind w:right="0" w:firstLine="720" w:left="0"/>
        <w:jc w:val="both"/>
        <w:outlineLvl w:val="9"/>
        <w:rPr>
          <w:color w:val="000000"/>
        </w:rPr>
      </w:pPr>
      <w:r>
        <w:rPr>
          <w:rFonts w:ascii="Times New Roman" w:hAnsi="Times New Roman" w:eastAsia="Times New Roman" w:cs="Times New Roman"/>
          <w:color w:val="000000"/>
          <w:sz w:val="28"/>
          <w:szCs w:val="28"/>
        </w:rPr>
        <w:t xml:space="preserve">11660379,82 рублей – остаток средств нормированного страхового запаса поступивших на расчет за медицинскую помощь, оказанную застрахованным лицам за пределами территории субъекта РФ, в котором выдан полис обязательного медицинского страхования. </w:t>
      </w:r>
    </w:p>
    <w:p>
      <w:pPr>
        <w:spacing w:after="0" w:before="0"/>
        <w:ind w:right="0" w:firstLine="720" w:left="0"/>
        <w:jc w:val="both"/>
        <w:outlineLvl w:val="9"/>
        <w:rPr>
          <w:color w:val="000000"/>
        </w:rPr>
      </w:pPr>
      <w:r>
        <w:rPr>
          <w:rFonts w:ascii="Times New Roman" w:hAnsi="Times New Roman" w:eastAsia="Times New Roman" w:cs="Times New Roman"/>
          <w:color w:val="000000"/>
          <w:sz w:val="28"/>
          <w:szCs w:val="28"/>
        </w:rPr>
        <w:t xml:space="preserve">44940,97 рублей – остаток штрафов, санкций поступающих от медицинских организаций.</w:t>
      </w:r>
    </w:p>
    <w:p>
      <w:pPr>
        <w:spacing w:after="0" w:before="0"/>
        <w:ind w:right="0" w:firstLine="720" w:left="0"/>
        <w:jc w:val="both"/>
        <w:outlineLvl w:val="9"/>
        <w:rPr>
          <w:color w:val="000000"/>
        </w:rPr>
      </w:pPr>
      <w:r>
        <w:rPr>
          <w:rFonts w:ascii="Times New Roman" w:hAnsi="Times New Roman" w:eastAsia="Times New Roman" w:cs="Times New Roman"/>
          <w:color w:val="000000"/>
          <w:sz w:val="28"/>
          <w:szCs w:val="28"/>
        </w:rPr>
        <w:t xml:space="preserve">35000,47 рублей -  возмещения ущерба, иски.</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p>
    <w:p>
      <w:pPr>
        <w:spacing w:after="0" w:before="0"/>
        <w:ind w:right="0" w:firstLine="0" w:left="0"/>
        <w:jc w:val="both"/>
        <w:outlineLvl w:val="9"/>
        <w:rPr>
          <w:color w:val="000000"/>
        </w:rPr>
      </w:pPr>
      <w:r>
        <w:rPr>
          <w:rFonts w:ascii="Tahoma" w:hAnsi="Tahoma" w:eastAsia="Tahoma" w:cs="Tahoma"/>
          <w:color w:val="000000"/>
          <w:sz w:val="18"/>
          <w:szCs w:val="18"/>
        </w:rPr>
        <w:t xml:space="preserve"> </w:t>
      </w:r>
    </w:p>
    <w:p>
      <w:pPr>
        <w:spacing w:after="0" w:before="0"/>
        <w:ind w:right="0" w:firstLine="0" w:left="0"/>
        <w:jc w:val="center"/>
        <w:outlineLvl w:val="9"/>
        <w:rPr>
          <w:color w:val="000000"/>
        </w:rPr>
      </w:pPr>
      <w:r>
        <w:rPr>
          <w:rFonts w:ascii="Times New Roman" w:hAnsi="Times New Roman" w:eastAsia="Times New Roman" w:cs="Times New Roman"/>
          <w:color w:val="000000"/>
          <w:sz w:val="28"/>
          <w:szCs w:val="28"/>
        </w:rPr>
        <w:t xml:space="preserve">Раздел 4. Анализ показателей финансовой отчетности ТФОМС ЕАО</w:t>
      </w:r>
    </w:p>
    <w:p>
      <w:pPr>
        <w:spacing w:after="240" w:before="0"/>
        <w:ind w:right="0" w:firstLine="0" w:left="0"/>
        <w:outlineLvl w:val="9"/>
        <w:rPr>
          <w:color w:val="000000"/>
        </w:rPr>
      </w:pPr>
      <w:r>
        <w:rPr>
          <w:rFonts w:ascii="Tahoma" w:hAnsi="Tahoma" w:eastAsia="Tahoma" w:cs="Tahoma"/>
          <w:color w:val="000000"/>
          <w:sz w:val="18"/>
        </w:rPr>
        <w:br/>
      </w:r>
      <w:r>
        <w:rPr>
          <w:rFonts w:ascii="Tahoma" w:hAnsi="Tahoma" w:eastAsia="Tahoma" w:cs="Tahoma"/>
          <w:color w:val="000000"/>
          <w:sz w:val="18"/>
          <w:szCs w:val="18"/>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Балансовая стоимость основных средств на конец 2024 года составила   17 098 071,04 рублей и по сравнению с предшествующим 2023  годом увеличилась на 619 392,00 рублей (1,04%).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Балансовая стоимость материальных запасов на конец 2024 года составила 956795,72  рублей.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Дебиторская задолженность ТФОМС ЕАО (ф. 0503169) на 1 января 2025 года составила в сумме 4 783 902 117,69 рублей, из них  просроченная дебиторская задолженность – 36 725 650,68 рублей.</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Просроченная дебиторская задолженность по счету 120545000 «Расчеты по прочим доходам от сумм принудительного изъятия» составила в сумме 36 725 650,68 рублей:</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 штрафные санкции за нецелевое использование бюджетных средств в сумме 2 457 703,95 рублей отражены перед: ОГБУЗ «Инфекционная больница» - 114 921,73 рублей, ОГБУЗ «Областная больница» 2 206 950,25 рублей,  ОГБУЗ «Облученская РБ» - 56 015,82 рублей, ООО ДЦ «Лекарь» 79 816,15 рублей. Причиной неоплаты штрафных санкций является приостановка операций по всем лицевым счетам в ОГБУЗ «Областная больница», ОГБУЗ «Облученская РБ» и отсутствие в медицинских организациях денежных средств. ООО ДЦ «Лекарь» подал заявление в арбитражный суд ЕАО, дело находится в стадии рассмотрения.</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 нецелевое использование средств обязательного медицинского страхования в сумме 34 263 720,82 рублей отражены перед: </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ОГБУЗ «Инфекционная больница» в сумме 11 632 965,38 рублей.                      У медицинской организации нет возможности сразу погасить всю задолженность, погашение задолженности частями за счет собственных средств.  </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ОГБУЗ «Областная больница» в сумме 20 386 174,00 рублей. У медицинской организации нет возможности погасить задолженность по причине приостановки операций по лицевым счетам.</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ОГБУЗ «Облученская РБ» в сумме 487 490,46 рублей. У медицинской организации нет возможности погасить задолженность по причине приостановки операций по лицевым счетам.</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ООО «Лечебно диагностический центр «Лотос ЦИ» в сумме 1 088 628,23 рублей. Медицинская организация подала заявление в суд на уменьшение суммы нецелевого использования средств ОМС. Дело находится в стадии рассмотрения.</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ООО Диагностический центр «Лекарь» в сумме 668 462,75 рублей.  Медицинская организация подала заявление в суд на уменьшение суммы нецелевого использования средств ОМС. Дело находится в стадии рассмотрения.</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Дебиторская задолженность (ф. 0503169)  по счету 120551000 «Расчеты по поступлениям от других бюджетов бюджетной системы Российской Федерации» наконец 2024 года составила – 4 744 976 477,67 рублей.</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Задолженность образовалась в связи с начислением доходов будущих периодов от предоставления межбюджетного трансферта из бюджета Федерального фонда обязательного медицинского страхования: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субвенция в сумме 4 740 278 800,00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софинансирование расходов медицинских организаций на оплату труда врачей и среднего медперсонала в сумме 4 287 000,00 рублей;</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денежные выплаты стимулирующего характера медработникам за выявление онкологических заболеваний в ходе проведения диспансеризации и профилактических медицинских осмотров населения в сумме 3 600,00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7"/>
          <w:szCs w:val="27"/>
        </w:rPr>
        <w:t xml:space="preserve">Межбюджетные  трансферты из бюджетов других фондов по межтерриториальным расчетам в сумме 407 077,67  рублей из них  просроченная дебиторская задолженность – 4 225,91рублей: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7"/>
          <w:szCs w:val="27"/>
        </w:rPr>
        <w:t xml:space="preserve">- </w:t>
      </w:r>
      <w:r>
        <w:rPr>
          <w:rFonts w:ascii="Times New Roman" w:hAnsi="Times New Roman" w:eastAsia="Times New Roman" w:cs="Times New Roman"/>
          <w:color w:val="000000"/>
          <w:sz w:val="28"/>
          <w:szCs w:val="28"/>
        </w:rPr>
        <w:t xml:space="preserve">ТФОМС Республики Калмыкия – 3 902,81 рублей;</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 ТФОМС Карачаево – Черкесской Республики – 323,10 рублей.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В связи с техническими сложностями, возникли существенные затруднения с обработкой входящих реестров счетов, таким образом, нарушен срок оплаты счетов.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Дебиторская задолженность (ф. 0503169) по сч.206.00 в сумме 2 645,43 рублей  сложилась ввиду следующих причин: необходимости осуществления авансовых платежей, предусмотренных в соответствии с заключенными договорами на оказание услуг.  </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Дебиторская задолженность (ф. 0503169) по сч.303.00 в сумме 1,00 рублей  сложилась ввиду следующих причин:  необходимость осуществления авансовых платежей, предусмотренных в соответствии с заключенными договорами на оказание услуг.  </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Кредиторская  задолженность ТФОМС ЕАО (ф. 0503169)  на 1 января 2025 года составила – 329 611 075,72 рублей. Просроченная кредиторская задолженность отсутствует.</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Кредиторская задолженность по счету 130221000 «Расчеты по услугам связи» в сумме 422,72 руб., по счету 130223000 «Расчеты по коммунальным услугам» в сумме 105 984,20 руб., сложилась в связи с недостаточной суммой аванса по расчетам за электрическую и  тепловую энергию, услуги внутризоновой связи, а также поздним поступлением  документов подтверждающих фактические расходы за декабрь  2024 г.</w:t>
      </w:r>
    </w:p>
    <w:p>
      <w:pPr>
        <w:spacing w:after="0" w:before="0"/>
        <w:ind w:right="0" w:firstLine="0" w:left="0"/>
        <w:jc w:val="both"/>
        <w:outlineLvl w:val="9"/>
        <w:rPr>
          <w:color w:val="000000"/>
        </w:rPr>
      </w:pPr>
      <w:r>
        <w:rPr>
          <w:rFonts w:ascii="Times New Roman" w:hAnsi="Times New Roman" w:eastAsia="Times New Roman" w:cs="Times New Roman"/>
          <w:color w:val="000000"/>
          <w:sz w:val="27"/>
          <w:szCs w:val="27"/>
        </w:rPr>
        <w:t xml:space="preserve">        Кредиторская задолженность по счету 130251000 «Расчеты по перечислениям текущего характера другим бюджетам бюджетной системы Российской Федерации» в сумме 930 612,16 рублей сложилась в связи поздним выставлением счетов за медицинские услуги иных межбюджетных трансфертов бюджетам ТФОМС в конце декабря 2024 года в ГИС. </w:t>
      </w:r>
    </w:p>
    <w:p>
      <w:pPr>
        <w:spacing w:after="0" w:before="0"/>
        <w:ind w:right="0" w:firstLine="708" w:left="0"/>
        <w:jc w:val="both"/>
        <w:outlineLvl w:val="9"/>
        <w:rPr>
          <w:color w:val="000000"/>
        </w:rPr>
      </w:pPr>
      <w:r>
        <w:rPr>
          <w:rFonts w:ascii="Times New Roman" w:hAnsi="Times New Roman" w:eastAsia="Times New Roman" w:cs="Times New Roman"/>
          <w:color w:val="000000"/>
          <w:sz w:val="27"/>
          <w:szCs w:val="27"/>
        </w:rPr>
        <w:t xml:space="preserve">Кредиторская задолженность (ф. 0503169), по счету 130305000 «Расчеты по безвозмездным поступлениям от других бюджетов бюджетной системы Российской Федерации» в сумме 328 574 056,64 рублей, сложилась в виде   остатков  межбюджетных трансфертов, подлежащих возврату в бюджет системы РФ в 2025 году.</w:t>
      </w:r>
    </w:p>
    <w:p>
      <w:pPr>
        <w:spacing w:after="0" w:before="0"/>
        <w:ind w:right="0" w:firstLine="708" w:left="0"/>
        <w:jc w:val="both"/>
        <w:outlineLvl w:val="9"/>
        <w:rPr>
          <w:color w:val="000000"/>
        </w:rPr>
      </w:pPr>
      <w:r>
        <w:rPr>
          <w:rFonts w:ascii="Times New Roman" w:hAnsi="Times New Roman" w:eastAsia="Times New Roman" w:cs="Times New Roman"/>
          <w:color w:val="000000"/>
          <w:sz w:val="28"/>
          <w:szCs w:val="28"/>
        </w:rPr>
        <w:t xml:space="preserve">Не исполнено принятых денежных обязательств текущего финансового года (кредиторская задолженность) в ф. 0503128 объясняется:  сумма 422,72 рублей (услуги связи); 105 984,20 рублей </w:t>
      </w:r>
      <w:r>
        <w:rPr>
          <w:rFonts w:ascii="Times New Roman" w:hAnsi="Times New Roman" w:eastAsia="Times New Roman" w:cs="Times New Roman"/>
          <w:color w:val="000000"/>
          <w:sz w:val="27"/>
          <w:szCs w:val="27"/>
        </w:rPr>
        <w:t xml:space="preserve">сложилась в связи с недостаточной суммой аванса по расчетам за электрическую и  тепловую энергию, услуги внутризоновой связи, а также поздним поступлением документов подтверждающих фактические расходы за декабрь  2024 г., 930 612,16 рублей сложилась в связи поздним выставлением счетов за медицинские услуги иных межбюджетных трансфертов бюджетам ТФОМС в конце декабря 2024 года в ГИС. </w:t>
      </w:r>
    </w:p>
    <w:p>
      <w:pPr>
        <w:spacing w:after="0" w:before="0"/>
        <w:ind w:right="0" w:firstLine="708" w:left="0"/>
        <w:jc w:val="both"/>
        <w:outlineLvl w:val="9"/>
        <w:rPr>
          <w:color w:val="000000"/>
        </w:rPr>
      </w:pPr>
      <w:r>
        <w:rPr>
          <w:color w:val="000000"/>
        </w:rPr>
        <w:t xml:space="preserve"> </w:t>
      </w:r>
    </w:p>
    <w:p>
      <w:pPr>
        <w:spacing w:after="0" w:before="0"/>
        <w:ind w:right="0" w:firstLine="708" w:left="0"/>
        <w:jc w:val="both"/>
        <w:outlineLvl w:val="9"/>
        <w:rPr>
          <w:color w:val="000000"/>
        </w:rPr>
      </w:pPr>
      <w:r>
        <w:rPr>
          <w:color w:val="000000"/>
        </w:rPr>
        <w:t xml:space="preserve"> </w:t>
      </w:r>
    </w:p>
    <w:p>
      <w:pPr>
        <w:spacing w:after="200" w:before="0"/>
        <w:ind w:right="0" w:firstLine="0" w:left="0"/>
        <w:jc w:val="center"/>
        <w:outlineLvl w:val="9"/>
        <w:rPr>
          <w:color w:val="000000"/>
        </w:rPr>
      </w:pPr>
      <w:r>
        <w:rPr>
          <w:rFonts w:ascii="Times New Roman" w:hAnsi="Times New Roman" w:eastAsia="Times New Roman" w:cs="Times New Roman"/>
          <w:b/>
          <w:color w:val="000000"/>
          <w:sz w:val="28"/>
          <w:szCs w:val="28"/>
        </w:rPr>
        <w:t xml:space="preserve">Раздел 5. Прочие вопросы деятельности ТФОМС ЕАО</w:t>
      </w:r>
    </w:p>
    <w:p>
      <w:pPr>
        <w:spacing w:after="240" w:before="0"/>
        <w:ind w:right="0" w:firstLine="0" w:left="0"/>
        <w:outlineLvl w:val="9"/>
        <w:rPr>
          <w:color w:val="000000"/>
        </w:rPr>
      </w:pPr>
      <w:r>
        <w:rPr>
          <w:color w:val="000000"/>
        </w:rPr>
        <w:t xml:space="preserve">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В 2024 году ТФОМС ЕАО принимал активное участие в подготовке и рассмотрении судебных дел по регрессным искам, подаваемым сотрудниками прокуратуры в защиту интересов Российской Федерации в лице ТФОМС ЕАО.  </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В течение 2024 года ТФОМС ЕАО неоднократно привлекался в качестве третьего лица, не заявляющего самостоятельных требований относительно предмета спора в Арбитражный суд Еврейской автономной области.</w:t>
      </w:r>
    </w:p>
    <w:p>
      <w:pPr>
        <w:spacing w:after="0" w:before="0"/>
        <w:ind w:right="0" w:firstLine="709" w:left="0"/>
        <w:jc w:val="both"/>
        <w:outlineLvl w:val="9"/>
        <w:rPr>
          <w:color w:val="000000"/>
        </w:rPr>
      </w:pPr>
      <w:r>
        <w:rPr>
          <w:rFonts w:ascii="Times New Roman" w:hAnsi="Times New Roman" w:eastAsia="Times New Roman" w:cs="Times New Roman"/>
          <w:color w:val="000000"/>
          <w:sz w:val="28"/>
          <w:szCs w:val="28"/>
        </w:rPr>
        <w:t xml:space="preserve">В течение 2024 года ТФОМС ЕАО неоднократно привлекался в качестве ответчика в Арбитражный суд Еврейской автономной области.</w:t>
      </w:r>
    </w:p>
    <w:p>
      <w:pPr>
        <w:spacing w:after="0" w:before="0"/>
        <w:ind w:right="0" w:firstLine="0" w:left="0"/>
        <w:outlineLvl w:val="9"/>
        <w:rPr>
          <w:color w:val="000000"/>
        </w:rPr>
      </w:pPr>
      <w:r>
        <w:rPr>
          <w:color w:val="000000"/>
        </w:rPr>
        <w:t xml:space="preserve"> </w:t>
      </w:r>
    </w:p>
    <w:p>
      <w:pPr>
        <w:spacing w:after="0" w:before="0"/>
        <w:ind w:right="0" w:firstLine="0" w:left="0"/>
        <w:jc w:val="both"/>
        <w:outlineLvl w:val="9"/>
        <w:rPr>
          <w:color w:val="000000"/>
        </w:rPr>
      </w:pPr>
      <w:r>
        <w:rPr>
          <w:rFonts w:ascii="Calibri" w:hAnsi="Calibri" w:eastAsia="Calibri" w:cs="Calibri"/>
          <w:color w:val="000000"/>
          <w:sz w:val="28"/>
          <w:szCs w:val="28"/>
        </w:rPr>
        <w:t xml:space="preserve">           </w:t>
      </w:r>
    </w:p>
    <w:p>
      <w:pPr>
        <w:spacing w:after="240" w:before="0"/>
        <w:ind w:right="0" w:firstLine="0" w:left="0"/>
        <w:outlineLvl w:val="9"/>
        <w:rPr>
          <w:color w:val="000000"/>
        </w:rPr>
      </w:pPr>
      <w:r>
        <w:rPr>
          <w:rFonts w:ascii="Tahoma" w:hAnsi="Tahoma" w:eastAsia="Tahoma" w:cs="Tahoma"/>
          <w:color w:val="000000"/>
          <w:sz w:val="18"/>
          <w:szCs w:val="18"/>
        </w:rPr>
        <w:t xml:space="preserve"> </w:t>
      </w:r>
      <w:r>
        <w:rPr>
          <w:rFonts w:ascii="Tahoma" w:hAnsi="Tahoma" w:eastAsia="Tahoma" w:cs="Tahoma"/>
          <w:color w:val="000000"/>
          <w:sz w:val="18"/>
        </w:rPr>
        <w:br/>
      </w:r>
      <w:r>
        <w:rPr>
          <w:rFonts w:ascii="Tahoma" w:hAnsi="Tahoma" w:eastAsia="Tahoma" w:cs="Tahoma"/>
          <w:color w:val="000000"/>
          <w:sz w:val="18"/>
          <w:szCs w:val="18"/>
        </w:rPr>
        <w:t xml:space="preserve"> </w:t>
      </w:r>
      <w:r>
        <w:rPr>
          <w:rFonts w:ascii="Tahoma" w:hAnsi="Tahoma" w:eastAsia="Tahoma" w:cs="Tahoma"/>
          <w:color w:val="000000"/>
          <w:sz w:val="18"/>
        </w:rPr>
        <w:br/>
      </w:r>
      <w:r>
        <w:rPr>
          <w:rFonts w:ascii="Tahoma" w:hAnsi="Tahoma" w:eastAsia="Tahoma" w:cs="Tahoma"/>
          <w:color w:val="000000"/>
          <w:sz w:val="18"/>
          <w:szCs w:val="18"/>
        </w:rPr>
        <w:t xml:space="preserve"> </w:t>
      </w:r>
    </w:p>
    <w:p>
      <w:pPr>
        <w:spacing w:after="0" w:before="0"/>
        <w:ind w:right="0" w:firstLine="0" w:left="0"/>
        <w:jc w:val="both"/>
        <w:outlineLvl w:val="9"/>
        <w:rPr>
          <w:color w:val="000000"/>
        </w:rPr>
      </w:pPr>
      <w:r>
        <w:rPr>
          <w:rFonts w:ascii="Times New Roman" w:hAnsi="Times New Roman" w:eastAsia="Times New Roman" w:cs="Times New Roman"/>
          <w:color w:val="000000"/>
          <w:sz w:val="28"/>
        </w:rPr>
        <w:br/>
      </w:r>
      <w:r>
        <w:rPr>
          <w:rFonts w:ascii="Times New Roman" w:hAnsi="Times New Roman" w:eastAsia="Times New Roman" w:cs="Times New Roman"/>
          <w:color w:val="000000"/>
          <w:sz w:val="28"/>
          <w:szCs w:val="28"/>
        </w:rPr>
        <w:t xml:space="preserve"> </w:t>
      </w:r>
    </w:p>
    <w:p>
      <w:pPr>
        <w:spacing w:after="0" w:before="0"/>
        <w:ind w:right="0" w:firstLine="0" w:left="0"/>
        <w:outlineLvl w:val="9"/>
      </w:pPr>
      <w:r>
        <w:t xml:space="preserve"> </w:t>
      </w:r>
      <w:r>
        <w:rPr>
          <w:color w:val="000000"/>
        </w:rPr>
        <w:t xml:space="preserve">%FILE_CONTENT%</w:t>
      </w:r>
    </w:p>
    <w:p>
      <w:pPr>
        <w:spacing w:after="0" w:before="0"/>
        <w:ind w:right="0" w:firstLine="0" w:left="0"/>
        <w:outlineLvl w:val="9"/>
        <w:rPr>
          <w:rFonts w:ascii="Times New Roman" w:hAnsi="Times New Roman" w:eastAsia="Times New Roman" w:cs="Times New Roman"/>
          <w:sz w:val="24"/>
        </w:rPr>
      </w:pPr>
      <w:r>
        <w:rPr>
          <w:rFonts w:ascii="Times New Roman" w:hAnsi="Times New Roman" w:eastAsia="Times New Roman" w:cs="Times New Roman"/>
          <w:sz w:val="24"/>
          <w:szCs w:val="24"/>
        </w:rPr>
        <w:t xml:space="preserve"> </w:t>
      </w:r>
    </w:p>
    <w:tbl>
      <w:tblPr>
        <w:tblW w:w="9380" w:type="dxa"/>
        <w:tblInd w:w="96" w:type="dxa"/>
        <w:tblBorders>
          <w:top w:val="none" w:color="000000" w:sz="0" w:space="0"/>
          <w:left w:val="none" w:color="000000" w:sz="0" w:space="0"/>
          <w:bottom w:val="none" w:color="000000" w:sz="0" w:space="0"/>
          <w:right w:val="none" w:color="000000" w:sz="0" w:space="0"/>
          <w:insideH w:val="none" w:color="auto" w:sz="0" w:space="0"/>
          <w:insideV w:val="none" w:color="auto" w:sz="0" w:space="0"/>
        </w:tblBorders>
        <w:tblLayout w:type="autofit"/>
        <w:tblCellMar>
          <w:left w:w="0" w:type="dxa"/>
          <w:top w:w="0" w:type="dxa"/>
          <w:right w:w="0" w:type="dxa"/>
          <w:bottom w:w="0" w:type="dxa"/>
        </w:tblCellMar>
      </w:tblPr>
      <w:tblGrid/>
      <w:t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Руководитель</w:t>
            </w:r>
          </w:p>
        </w:tc>
        <w:tc>
          <w:tcPr>
            <w:tcW w:w="204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mc:AlternateContent>
                <mc:Choice Requires="wpg">
                  <w:drawing>
                    <wp:inline xmlns:wp="http://schemas.openxmlformats.org/drawingml/2006/wordprocessingDrawing" distT="0" distB="0" distL="0" distR="0">
                      <wp:extent cx="2857500" cy="9525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r/>
                            </pic:nvPicPr>
                            <pic:blipFill>
                              <a:blip r:embed="rId7"/>
                              <a:stretch/>
                            </pic:blipFill>
                            <pic:spPr>
                              <a:xfrm>
                                <a:off x="0" y="0"/>
                                <a:ext cx="2857500" cy="9525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25.00pt;height:75.00pt;mso-wrap-distance-left:0.00pt;mso-wrap-distance-top:0.00pt;mso-wrap-distance-right:0.00pt;mso-wrap-distance-bottom:0.00pt;z-index:1;" stroked="false">
                      <v:imagedata r:id="rId7" o:title=""/>
                      <o:lock v:ext="edit" rotation="t"/>
                    </v:shape>
                  </w:pict>
                </mc:Fallback>
              </mc:AlternateConten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u w:val="single"/>
              </w:rPr>
              <w:t xml:space="preserve">Писарева Ольга Юрьевна</w:t>
            </w:r>
          </w:p>
        </w:tc>
      </w:tr>
      <w:tr>
        <w:trPr>
          <w:trHeight w:val="280"/>
        </w:trPr>
        <w:tc>
          <w:tcPr>
            <w:tcW w:w="3570" w:type="dxa"/>
            <w:noWrap/>
            <w:tcMar>
              <w:left w:w="108" w:type="dxa"/>
              <w:top w:w="0" w:type="dxa"/>
              <w:right w:w="108" w:type="dxa"/>
              <w:bottom w:w="0" w:type="dxa"/>
            </w:tcMar>
            <w:vAlign w:val="bottom"/>
            <w:hideMark/>
          </w:tcPr>
          <w:p>
            <w:pPr>
              <w:ind w:right="0" w:left="0"/>
              <w:rPr>
                <w:sz w:val="24"/>
              </w:rPr>
            </w:pPr>
          </w:p>
        </w:tc>
        <w:tc>
          <w:tcPr>
            <w:tcW w:w="2040" w:type="dxa"/>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(подпись)</w: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(расшифровка подписи)</w:t>
            </w:r>
          </w:p>
        </w:tc>
      </w:tr>
      <w:tr>
        <w:trPr>
          <w:trHeight w:val="281"/>
        </w:trPr>
        <w:tc>
          <w:tcPr>
            <w:tcW w:w="0" w:type="auto"/>
            <w:gridSpan w:val="3"/>
            <w:noWrap/>
            <w:tcMar>
              <w:left w:w="108" w:type="dxa"/>
              <w:top w:w="0" w:type="dxa"/>
              <w:right w:w="108" w:type="dxa"/>
              <w:bottom w:w="0" w:type="dxa"/>
            </w:tcMar>
            <w:vAlign w:val="bottom"/>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 </w:t>
            </w: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Руководитель планово-</w:t>
            </w:r>
          </w:p>
        </w:tc>
        <w:tc>
          <w:tcPr>
            <w:tcW w:w="2040" w:type="dxa"/>
            <w:tcMar>
              <w:left w:w="108" w:type="dxa"/>
              <w:top w:w="0" w:type="dxa"/>
              <w:right w:w="108" w:type="dxa"/>
              <w:bottom w:w="0" w:type="dxa"/>
            </w:tcMar>
            <w:vAlign w:val="center"/>
            <w:hideMark/>
          </w:tcPr>
          <w:p>
            <w:pPr>
              <w:ind w:right="0" w:left="0"/>
              <w:rPr>
                <w:sz w:val="24"/>
              </w:rPr>
            </w:pPr>
          </w:p>
        </w:tc>
        <w:tc>
          <w:tcPr>
            <w:tcW w:w="0" w:type="auto"/>
            <w:tcMar>
              <w:left w:w="108" w:type="dxa"/>
              <w:top w:w="0" w:type="dxa"/>
              <w:right w:w="108" w:type="dxa"/>
              <w:bottom w:w="0" w:type="dxa"/>
            </w:tcMar>
            <w:vAlign w:val="center"/>
            <w:hideMark/>
          </w:tcPr>
          <w:p>
            <w:pPr>
              <w:ind w:right="0" w:left="0"/>
              <w:rPr>
                <w:sz w:val="24"/>
              </w:rPr>
            </w:pP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экономической службы</w:t>
            </w:r>
          </w:p>
        </w:tc>
        <w:tc>
          <w:tcPr>
            <w:tcW w:w="2040" w:type="dxa"/>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(подпись)</w: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(расшифровка подписи)</w:t>
            </w:r>
          </w:p>
        </w:tc>
      </w:tr>
      <w:tr>
        <w:trPr>
          <w:trHeight w:val="281"/>
        </w:trPr>
        <w:tc>
          <w:tcPr>
            <w:tcW w:w="0" w:type="auto"/>
            <w:gridSpan w:val="3"/>
            <w:noWrap/>
            <w:tcMar>
              <w:left w:w="108" w:type="dxa"/>
              <w:top w:w="0" w:type="dxa"/>
              <w:right w:w="108" w:type="dxa"/>
              <w:bottom w:w="0" w:type="dxa"/>
            </w:tcMar>
            <w:vAlign w:val="bottom"/>
            <w:hideMark/>
          </w:tcPr>
          <w:p>
            <w:pPr>
              <w:ind w:right="0" w:left="0"/>
              <w:rPr>
                <w:sz w:val="24"/>
              </w:rPr>
            </w:pP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Главный</w:t>
            </w:r>
          </w:p>
        </w:tc>
        <w:tc>
          <w:tcPr>
            <w:tcW w:w="204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mc:AlternateContent>
                <mc:Choice Requires="wpg">
                  <w:drawing>
                    <wp:inline xmlns:wp="http://schemas.openxmlformats.org/drawingml/2006/wordprocessingDrawing" distT="0" distB="0" distL="0" distR="0">
                      <wp:extent cx="2857500" cy="9525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r/>
                            </pic:nvPicPr>
                            <pic:blipFill>
                              <a:blip r:embed="rId8"/>
                              <a:stretch/>
                            </pic:blipFill>
                            <pic:spPr>
                              <a:xfrm>
                                <a:off x="0" y="0"/>
                                <a:ext cx="2857500" cy="952500"/>
                              </a:xfrm>
                              <a:prstGeom prst="rect">
                                <a:avLst/>
                              </a:prstGeom>
                              <a:noFill/>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225.00pt;height:75.00pt;mso-wrap-distance-left:0.00pt;mso-wrap-distance-top:0.00pt;mso-wrap-distance-right:0.00pt;mso-wrap-distance-bottom:0.00pt;z-index:1;" stroked="false">
                      <v:imagedata r:id="rId8" o:title=""/>
                      <o:lock v:ext="edit" rotation="t"/>
                    </v:shape>
                  </w:pict>
                </mc:Fallback>
              </mc:AlternateContent>
            </w:r>
          </w:p>
        </w:tc>
        <w:tc>
          <w:tcPr>
            <w:tcW w:w="0" w:type="auto"/>
            <w:noWrap/>
            <w:tcMar>
              <w:left w:w="108" w:type="dxa"/>
              <w:top w:w="0" w:type="dxa"/>
              <w:right w:w="108" w:type="dxa"/>
              <w:bottom w:w="0" w:type="dxa"/>
            </w:tcMar>
            <w:vAlign w:val="bottom"/>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u w:val="single"/>
              </w:rPr>
              <w:t xml:space="preserve">Беседина Людмила Арнольдовна</w:t>
            </w:r>
          </w:p>
        </w:tc>
      </w:tr>
      <w:tr>
        <w:trPr>
          <w:trHeight w:val="281"/>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бухгалтер</w:t>
            </w:r>
          </w:p>
        </w:tc>
        <w:tc>
          <w:tcPr>
            <w:tcW w:w="2040" w:type="dxa"/>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(подпись)</w:t>
            </w:r>
          </w:p>
        </w:tc>
        <w:tc>
          <w:tcPr>
            <w:tcW w:w="0" w:type="auto"/>
            <w:tcMar>
              <w:left w:w="108" w:type="dxa"/>
              <w:top w:w="0" w:type="dxa"/>
              <w:right w:w="108" w:type="dxa"/>
              <w:bottom w:w="0" w:type="dxa"/>
            </w:tcMar>
            <w:vAlign w:val="center"/>
            <w:hideMark/>
          </w:tcPr>
          <w:p>
            <w:pPr>
              <w:spacing w:after="0" w:before="0"/>
              <w:ind w:right="0" w:left="0"/>
              <w:jc w:val="center"/>
              <w:rPr>
                <w:rFonts w:ascii="Times New Roman" w:hAnsi="Times New Roman" w:eastAsia="Times New Roman" w:cs="Times New Roman"/>
                <w:sz w:val="24"/>
              </w:rPr>
            </w:pPr>
            <w:r>
              <w:rPr>
                <w:rFonts w:ascii="Times New Roman" w:hAnsi="Times New Roman" w:eastAsia="Times New Roman" w:cs="Times New Roman"/>
                <w:sz w:val="20"/>
                <w:szCs w:val="20"/>
              </w:rPr>
              <w:t xml:space="preserve">(расшифровка подписи)</w:t>
            </w:r>
          </w:p>
        </w:tc>
      </w:tr>
      <w:tr>
        <w:trPr>
          <w:trHeight w:val="449"/>
        </w:trPr>
        <w:tc>
          <w:tcPr>
            <w:tcW w:w="3570" w:type="dxa"/>
            <w:tcMar>
              <w:left w:w="108" w:type="dxa"/>
              <w:top w:w="0" w:type="dxa"/>
              <w:right w:w="108" w:type="dxa"/>
              <w:bottom w:w="0" w:type="dxa"/>
            </w:tcMar>
            <w:vAlign w:val="center"/>
            <w:hideMark/>
          </w:tcPr>
          <w:p>
            <w:pPr>
              <w:spacing w:after="0" w:before="0"/>
              <w:ind w:right="0" w:left="0"/>
              <w:rPr>
                <w:rFonts w:ascii="Times New Roman" w:hAnsi="Times New Roman" w:eastAsia="Times New Roman" w:cs="Times New Roman"/>
                <w:sz w:val="24"/>
              </w:rPr>
            </w:pPr>
            <w:r>
              <w:rPr>
                <w:rFonts w:ascii="Times New Roman" w:hAnsi="Times New Roman" w:eastAsia="Times New Roman" w:cs="Times New Roman"/>
                <w:sz w:val="20"/>
                <w:szCs w:val="20"/>
              </w:rPr>
              <w:t xml:space="preserve">"____"   ____________ 20____г.</w:t>
            </w:r>
          </w:p>
        </w:tc>
        <w:tc>
          <w:tcPr>
            <w:tcW w:w="0" w:type="auto"/>
            <w:tcMar>
              <w:left w:w="108" w:type="dxa"/>
              <w:top w:w="0" w:type="dxa"/>
              <w:right w:w="108" w:type="dxa"/>
              <w:bottom w:w="0" w:type="dxa"/>
            </w:tcMar>
            <w:vAlign w:val="center"/>
            <w:hideMark/>
          </w:tcPr>
          <w:p>
            <w:pPr>
              <w:ind w:right="0" w:left="0"/>
              <w:rPr>
                <w:sz w:val="24"/>
              </w:rPr>
            </w:pPr>
          </w:p>
        </w:tc>
        <w:tc>
          <w:tcPr>
            <w:tcW w:w="0" w:type="auto"/>
            <w:tcMar>
              <w:left w:w="108" w:type="dxa"/>
              <w:top w:w="0" w:type="dxa"/>
              <w:right w:w="108" w:type="dxa"/>
              <w:bottom w:w="0" w:type="dxa"/>
            </w:tcMar>
            <w:vAlign w:val="center"/>
            <w:hideMark/>
          </w:tcPr>
          <w:p>
            <w:pPr>
              <w:ind w:right="0" w:left="0"/>
              <w:rPr>
                <w:sz w:val="24"/>
              </w:rPr>
            </w:pPr>
          </w:p>
        </w:tc>
      </w:tr>
    </w:tbl>
    <w:p>
      <w:r>
        <w:rPr>
          <w:rFonts w:ascii="Times New Roman" w:hAnsi="Times New Roman" w:eastAsia="Times New Roman" w:cs="Times New Roman"/>
          <w:sz w:val="24"/>
          <w:szCs w:val="24"/>
        </w:rPr>
        <w:t xml:space="preserve">Документ подписан электронной подписью. Дата представления 18.02.2025</w:t>
        <w:br/>
        <w:t xml:space="preserve">Главный бухгалтер(Беседина Людмила Арнольдовна, Сертификат: 00F097840450C74D34275BFBE146603E84, Действителен: с 26.11.2024 по 19.02.2026), Руководитель(Писарева Ольга Юрьевна, Сертификат: 00A783305EA96514331BA17F700CDCA2FE, Действителен: с 09.10.2024 по 02.01.2026)        </w:t>
      </w:r>
    </w:p>
    <w:sectPr>
      <w:type w:val="nextPage"/>
      <w:pgSz/>
      <w:pgMa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Tahoma">
    <w:panose1 w:val="020B0604030504040204"/>
  </w:font>
  <w:font w:name="Times New Roman">
    <w:panose1 w:val="02020603050405020304"/>
  </w:font>
  <w:font w:name="Symbol">
    <w:panose1 w:val="05010000000000000000"/>
  </w:font>
  <w:font w:name="Cambria">
    <w:panose1 w:val="0204050305040603020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tplc="6BBE8DDD">
      <w:lvlJc w:val="left"/>
      <w:lvlText w:val="·"/>
      <w:numFmt w:val="bullet"/>
      <w:pPr>
        <w:ind w:hanging="360" w:left="720"/>
      </w:pPr>
      <w:rPr>
        <w:rFonts w:ascii="Symbol" w:hAnsi="Symbol" w:eastAsia="Symbol" w:cs="Symbol"/>
      </w:rPr>
      <w:start w:val="1"/>
      <w:suff w:val="space"/>
    </w:lvl>
    <w:lvl w:ilvl="1" w:tplc="566E8038">
      <w:lvlJc w:val="left"/>
      <w:lvlText w:val="o"/>
      <w:numFmt w:val="bullet"/>
      <w:pPr>
        <w:ind w:hanging="360" w:left="1440"/>
      </w:pPr>
      <w:rPr>
        <w:rFonts w:ascii="Symbol" w:hAnsi="Symbol"/>
      </w:rPr>
      <w:start w:val="1"/>
      <w:suff w:val="space"/>
    </w:lvl>
    <w:lvl w:ilvl="2" w:tplc="73284710">
      <w:lvlJc w:val="left"/>
      <w:lvlText w:val="·"/>
      <w:numFmt w:val="bullet"/>
      <w:pPr>
        <w:ind w:hanging="360" w:left="2160"/>
      </w:pPr>
      <w:rPr>
        <w:rFonts w:ascii="Symbol" w:hAnsi="Symbol"/>
      </w:rPr>
      <w:start w:val="1"/>
      <w:suff w:val="space"/>
    </w:lvl>
    <w:lvl w:ilvl="3" w:tplc="20175A88">
      <w:lvlJc w:val="left"/>
      <w:lvlText w:val="o"/>
      <w:numFmt w:val="bullet"/>
      <w:pPr>
        <w:ind w:hanging="360" w:left="2880"/>
      </w:pPr>
      <w:rPr>
        <w:rFonts w:ascii="Symbol" w:hAnsi="Symbol"/>
      </w:rPr>
      <w:start w:val="1"/>
      <w:suff w:val="space"/>
    </w:lvl>
    <w:lvl w:ilvl="4" w:tplc="1F774D94">
      <w:lvlJc w:val="left"/>
      <w:lvlText w:val="·"/>
      <w:numFmt w:val="bullet"/>
      <w:pPr>
        <w:ind w:hanging="360" w:left="3600"/>
      </w:pPr>
      <w:rPr>
        <w:rFonts w:ascii="Symbol" w:hAnsi="Symbol"/>
      </w:rPr>
      <w:start w:val="1"/>
      <w:suff w:val="space"/>
    </w:lvl>
    <w:lvl w:ilvl="5" w:tplc="4246A525">
      <w:lvlJc w:val="left"/>
      <w:lvlText w:val="o"/>
      <w:numFmt w:val="bullet"/>
      <w:pPr>
        <w:ind w:hanging="360" w:left="4320"/>
      </w:pPr>
      <w:rPr>
        <w:rFonts w:ascii="Symbol" w:hAnsi="Symbol"/>
      </w:rPr>
      <w:start w:val="1"/>
      <w:suff w:val="space"/>
    </w:lvl>
    <w:lvl w:ilvl="6" w:tplc="7859A5E0">
      <w:lvlJc w:val="left"/>
      <w:lvlText w:val="·"/>
      <w:numFmt w:val="bullet"/>
      <w:pPr>
        <w:ind w:hanging="360" w:left="5040"/>
      </w:pPr>
      <w:rPr>
        <w:rFonts w:ascii="Symbol" w:hAnsi="Symbol"/>
      </w:rPr>
      <w:start w:val="1"/>
      <w:suff w:val="space"/>
    </w:lvl>
    <w:lvl w:ilvl="7" w:tplc="5CAA0290">
      <w:lvlJc w:val="left"/>
      <w:lvlText w:val="o"/>
      <w:numFmt w:val="bullet"/>
      <w:pPr>
        <w:ind w:hanging="360" w:left="5760"/>
      </w:pPr>
      <w:rPr>
        <w:rFonts w:ascii="Symbol" w:hAnsi="Symbol"/>
      </w:rPr>
      <w:start w:val="1"/>
      <w:suff w:val="space"/>
    </w:lvl>
    <w:lvl w:ilvl="8" w:tplc="4B0AFBD4">
      <w:lvlJc w:val="left"/>
      <w:lvlText w:val="·"/>
      <w:numFmt w:val="bullet"/>
      <w:pPr>
        <w:ind w:hanging="360" w:left="6480"/>
      </w:pPr>
      <w:rPr>
        <w:rFonts w:ascii="Symbol" w:hAnsi="Symbol"/>
      </w:rPr>
      <w:start w:val="1"/>
      <w:suff w:val="space"/>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val="false"/>
  <w:characterSpacingControl w:val="doNotCompress"/>
  <w:compat/>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EastAsia" w:cstheme="minorBidi"/>
        <w:sz w:val="22"/>
        <w:szCs w:val="22"/>
      </w:rPr>
    </w:rPrDefault>
    <w:pPrDefault>
      <w:pPr>
        <w:keepNext w:val="false"/>
        <w:keepLines w:val="false"/>
        <w:pageBreakBefore w:val="false"/>
        <w:widowControl w:val="true"/>
        <w:suppressLineNumbers w:val="false"/>
        <w:shd w:val="clear" w:fill="auto"/>
        <w:spacing w:after="0" w:afterAutospacing="0" w:before="0" w:beforeAutospacing="0" w:line="240" w:lineRule="auto"/>
        <w:ind w:right="0" w:firstLine="0" w:left="0"/>
        <w:contextualSpacing w:val="false"/>
        <w:jc w:val="left"/>
        <w:outlineLvl w:val="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P0" w:default="1">
    <w:name w:val="Normal"/>
    <w:pPr/>
  </w:style>
  <w:style w:type="character" w:styleId="C0" w:default="1">
    <w:name w:val="Default Paragraph Font"/>
    <w:semiHidden/>
  </w:style>
  <w:style w:type="character" w:styleId="C1">
    <w:name w:val="Line Number"/>
    <w:basedOn w:val="C0"/>
    <w:semiHidden/>
  </w:style>
  <w:style w:type="character" w:styleId="C2">
    <w:name w:val="Hyperlink"/>
    <w:rPr>
      <w:color w:val="0000ff"/>
      <w:u w:val="single"/>
    </w:rPr>
  </w:style>
  <w:style w:type="table" w:styleId="T0" w:default="1">
    <w:name w:val="Normal Table"/>
    <w:tblPr>
      <w:tblCellMar>
        <w:left w:w="108" w:type="dxa"/>
        <w:top w:w="0" w:type="dxa"/>
        <w:right w:w="108" w:type="dxa"/>
        <w:bottom w:w="0" w:type="dxa"/>
      </w:tblCellMar>
    </w:tblPr>
  </w:style>
  <w:style w:type="table" w:styleId="T1">
    <w:name w:val="Table Simple 1"/>
    <w:basedOn w:val="T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Arial"/>
        <a:cs typeface="Arial"/>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ONLYOFFICE/7.5.1.23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smart1/www-data</dc:creator>
  <cp:lastModifiedBy>smart1/www-data</cp:lastModifiedBy>
  <cp:revision>1</cp:revision>
  <dcterms:created xsi:type="dcterms:W3CDTF">2025-03-10T00:21:58Z</dcterms:created>
  <dcterms:modified xsi:type="dcterms:W3CDTF">2025-03-10T00:21:58Z</dcterms:modified>
</cp:coreProperties>
</file>